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/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77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</w:pPr>
            <w:r/>
            <w:bookmarkStart w:id="0" w:name="РегДанные"/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t xml:space="preserve">&lt;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4"/>
                <w:szCs w:val="24"/>
              </w:rPr>
              <w:t xml:space="preserve">Дата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t xml:space="preserve">&gt;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0"/>
            <w:r/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977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77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pPr>
            <w:r/>
            <w:bookmarkStart w:id="1" w:name="РегНомер"/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t xml:space="preserve">&lt;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4"/>
                <w:szCs w:val="24"/>
              </w:rPr>
              <w:t xml:space="preserve">Номер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t xml:space="preserve">&gt;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1"/>
            <w:r/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</w:p>
        </w:tc>
      </w:tr>
    </w:tbl>
    <w:p>
      <w:pPr>
        <w:pStyle w:val="984"/>
        <w:jc w:val="center"/>
        <w:spacing w:before="480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 xml:space="preserve">О внесении изменений </w:t>
      </w:r>
      <w:r>
        <w:rPr>
          <w:rFonts w:ascii="PT Astra Serif" w:hAnsi="PT Astra Serif" w:cs="Times New Roman"/>
          <w:sz w:val="25"/>
          <w:szCs w:val="25"/>
        </w:rPr>
        <w:t xml:space="preserve">в приказ Департамента по управлению государственной собственностью То</w:t>
      </w:r>
      <w:r>
        <w:rPr>
          <w:rFonts w:ascii="PT Astra Serif" w:hAnsi="PT Astra Serif" w:cs="Times New Roman"/>
          <w:sz w:val="25"/>
          <w:szCs w:val="25"/>
        </w:rPr>
        <w:t xml:space="preserve">мской области от 23.12.2022 № 52</w:t>
      </w:r>
      <w:r>
        <w:rPr>
          <w:rFonts w:ascii="PT Astra Serif" w:hAnsi="PT Astra Serif" w:cs="Times New Roman"/>
          <w:sz w:val="25"/>
          <w:szCs w:val="25"/>
        </w:rPr>
        <w:t xml:space="preserve"> </w:t>
      </w:r>
      <w:r>
        <w:rPr>
          <w:rFonts w:ascii="PT Astra Serif" w:hAnsi="PT Astra Serif" w:cs="Times New Roman"/>
          <w:sz w:val="25"/>
          <w:szCs w:val="25"/>
        </w:rPr>
      </w:r>
    </w:p>
    <w:p>
      <w:pPr>
        <w:pStyle w:val="984"/>
        <w:jc w:val="both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</w:r>
      <w:r>
        <w:rPr>
          <w:rFonts w:ascii="PT Astra Serif" w:hAnsi="PT Astra Serif" w:cs="Times New Roman"/>
          <w:sz w:val="25"/>
          <w:szCs w:val="25"/>
        </w:rPr>
      </w:r>
    </w:p>
    <w:p>
      <w:pPr>
        <w:pStyle w:val="984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 xml:space="preserve">В целях совершенствования нормативных правовых актов</w:t>
      </w:r>
      <w:r>
        <w:rPr>
          <w:rFonts w:ascii="PT Astra Serif" w:hAnsi="PT Astra Serif" w:cs="Times New Roman"/>
          <w:sz w:val="25"/>
          <w:szCs w:val="25"/>
        </w:rPr>
      </w:r>
    </w:p>
    <w:p>
      <w:pPr>
        <w:pStyle w:val="984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 xml:space="preserve">ПРИКАЗЫВАЮ:</w:t>
      </w:r>
      <w:r>
        <w:rPr>
          <w:rFonts w:ascii="PT Astra Serif" w:hAnsi="PT Astra Serif" w:cs="Times New Roman"/>
          <w:sz w:val="25"/>
          <w:szCs w:val="25"/>
        </w:rPr>
      </w:r>
    </w:p>
    <w:p>
      <w:pPr>
        <w:pStyle w:val="984"/>
        <w:numPr>
          <w:ilvl w:val="0"/>
          <w:numId w:val="4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 xml:space="preserve">Внести в приказ Департамента по управлению государственной собственностью Томской области от 23.12.2022 № 52 «Об утверждении Административного регламента предоставления государственной услуги «Предоставление земельн</w:t>
      </w:r>
      <w:r>
        <w:rPr>
          <w:rFonts w:ascii="PT Astra Serif" w:hAnsi="PT Astra Serif" w:cs="Times New Roman"/>
          <w:sz w:val="25"/>
          <w:szCs w:val="25"/>
        </w:rPr>
        <w:t xml:space="preserve">ого участка, находящегося в государственной собственности Томской области, гражданину или юридическому лицу в собственность бесплатно» (Официальный интернет-портал правовой информации (www.pravo.gov.ru), 26.12.2022, № 7001202212260023) следующие изменения:</w:t>
      </w:r>
      <w:r>
        <w:rPr>
          <w:rFonts w:ascii="PT Astra Serif" w:hAnsi="PT Astra Serif" w:cs="Times New Roman"/>
          <w:sz w:val="25"/>
          <w:szCs w:val="25"/>
        </w:rPr>
      </w:r>
    </w:p>
    <w:p>
      <w:pPr>
        <w:pStyle w:val="984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в А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дминистративном регламенте предоставления государственной услуги «Предоставление земельного участка, находящегося в государственной собственности Томской области, гражданину или юридическому лицу в собственность бесплатно», утвержденном указанным приказом:</w:t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84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1) пункт 2 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изложить 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в следующей редакции:</w:t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84"/>
        <w:ind w:firstLine="709"/>
        <w:jc w:val="both"/>
        <w:tabs>
          <w:tab w:val="left" w:pos="993" w:leader="none"/>
        </w:tabs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yellow"/>
        </w:rPr>
        <w:t xml:space="preserve">«2.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 Заявителями являются физические и юридические лица, имеющие право на приобретение земельных участков, находящихся в государственной собственности Томской области (далее - заявитель), в случаях, предусмотренных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 </w:t>
      </w:r>
      <w:hyperlink r:id="rId12" w:tooltip="https://internet.garant.ru/#/document/12124624/entry/395" w:anchor="/document/12124624/entry/395" w:history="1">
        <w:r>
          <w:rPr>
            <w:rStyle w:val="960"/>
            <w:rFonts w:ascii="PT Astra Serif" w:hAnsi="PT Astra Serif" w:cs="Times New Roman"/>
            <w:color w:val="auto"/>
            <w:sz w:val="25"/>
            <w:szCs w:val="25"/>
            <w:highlight w:val="white"/>
            <w:u w:val="none"/>
          </w:rPr>
          <w:t xml:space="preserve">статьей 39.5</w:t>
        </w:r>
      </w:hyperlink>
      <w:r>
        <w:rPr>
          <w:rStyle w:val="960"/>
          <w:rFonts w:ascii="PT Astra Serif" w:hAnsi="PT Astra Serif" w:cs="Times New Roman"/>
          <w:color w:val="auto"/>
          <w:sz w:val="25"/>
          <w:szCs w:val="25"/>
          <w:highlight w:val="white"/>
          <w:u w:val="none"/>
        </w:rPr>
        <w:t xml:space="preserve"> 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Земельного кодекса Росси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йской Федерации (далее - ЗК РФ), в том числе</w:t>
      </w:r>
      <w:r>
        <w:rPr>
          <w:rFonts w:ascii="PT Astra Serif" w:hAnsi="PT Astra Serif"/>
          <w:sz w:val="25"/>
          <w:szCs w:val="25"/>
          <w:highlight w:val="white"/>
        </w:rPr>
        <w:t xml:space="preserve">:</w:t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984"/>
        <w:ind w:firstLine="709"/>
        <w:jc w:val="both"/>
        <w:tabs>
          <w:tab w:val="left" w:pos="993" w:leader="none"/>
        </w:tabs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 xml:space="preserve">а</w:t>
      </w:r>
      <w:r>
        <w:rPr>
          <w:rFonts w:ascii="PT Astra Serif" w:hAnsi="PT Astra Serif"/>
          <w:sz w:val="25"/>
          <w:szCs w:val="25"/>
          <w:highlight w:val="white"/>
        </w:rPr>
        <w:t xml:space="preserve">) военнослужащие, лица, заключившие</w:t>
      </w:r>
      <w:r>
        <w:rPr>
          <w:rFonts w:ascii="PT Astra Serif" w:hAnsi="PT Astra Serif"/>
          <w:sz w:val="25"/>
          <w:szCs w:val="25"/>
          <w:highlight w:val="white"/>
        </w:rPr>
        <w:t xml:space="preserve"> контракт о пребывании в добровольче</w:t>
      </w:r>
      <w:r>
        <w:rPr>
          <w:rFonts w:ascii="PT Astra Serif" w:hAnsi="PT Astra Serif"/>
          <w:sz w:val="25"/>
          <w:szCs w:val="25"/>
          <w:highlight w:val="white"/>
        </w:rPr>
        <w:t xml:space="preserve">ском формировании, содействующие</w:t>
      </w:r>
      <w:r>
        <w:rPr>
          <w:rFonts w:ascii="PT Astra Serif" w:hAnsi="PT Astra Serif"/>
          <w:sz w:val="25"/>
          <w:szCs w:val="25"/>
          <w:highlight w:val="white"/>
        </w:rPr>
        <w:t xml:space="preserve"> выполнению задач, возложенных на Вооруженные Силы Российской Федерации (войска национальной гварди</w:t>
      </w:r>
      <w:r>
        <w:rPr>
          <w:rFonts w:ascii="PT Astra Serif" w:hAnsi="PT Astra Serif"/>
          <w:sz w:val="25"/>
          <w:szCs w:val="25"/>
          <w:highlight w:val="white"/>
        </w:rPr>
        <w:t xml:space="preserve">и Российской Федерации), и лица, проходящие (проходившие</w:t>
      </w:r>
      <w:r>
        <w:rPr>
          <w:rFonts w:ascii="PT Astra Serif" w:hAnsi="PT Astra Serif"/>
          <w:sz w:val="25"/>
          <w:szCs w:val="25"/>
          <w:highlight w:val="white"/>
        </w:rPr>
        <w:t xml:space="preserve">) службу в войсках национальной гварди</w:t>
      </w:r>
      <w:r>
        <w:rPr>
          <w:rFonts w:ascii="PT Astra Serif" w:hAnsi="PT Astra Serif"/>
          <w:sz w:val="25"/>
          <w:szCs w:val="25"/>
          <w:highlight w:val="white"/>
        </w:rPr>
        <w:t xml:space="preserve">и Российской Федерации и имеющие</w:t>
      </w:r>
      <w:r>
        <w:rPr>
          <w:rFonts w:ascii="PT Astra Serif" w:hAnsi="PT Astra Serif"/>
          <w:sz w:val="25"/>
          <w:szCs w:val="25"/>
          <w:highlight w:val="white"/>
        </w:rPr>
        <w:t xml:space="preserve"> специал</w:t>
      </w:r>
      <w:r>
        <w:rPr>
          <w:rFonts w:ascii="PT Astra Serif" w:hAnsi="PT Astra Serif"/>
          <w:sz w:val="25"/>
          <w:szCs w:val="25"/>
          <w:highlight w:val="white"/>
        </w:rPr>
        <w:t xml:space="preserve">ьные звания полиции, удостоенные</w:t>
      </w:r>
      <w:r>
        <w:rPr>
          <w:rFonts w:ascii="PT Astra Serif" w:hAnsi="PT Astra Serif"/>
          <w:sz w:val="25"/>
          <w:szCs w:val="25"/>
          <w:highlight w:val="white"/>
        </w:rPr>
        <w:t xml:space="preserve"> звания Героя Росси</w:t>
      </w:r>
      <w:r>
        <w:rPr>
          <w:rFonts w:ascii="PT Astra Serif" w:hAnsi="PT Astra Serif"/>
          <w:sz w:val="25"/>
          <w:szCs w:val="25"/>
          <w:highlight w:val="white"/>
        </w:rPr>
        <w:t xml:space="preserve">йской Федерации или награжденные</w:t>
      </w:r>
      <w:r>
        <w:rPr>
          <w:rFonts w:ascii="PT Astra Serif" w:hAnsi="PT Astra Serif"/>
          <w:sz w:val="25"/>
          <w:szCs w:val="25"/>
          <w:highlight w:val="white"/>
        </w:rPr>
        <w:t xml:space="preserve"> орденами Российской Федерации за заслуги, проявленные в ходе участия в специаль</w:t>
      </w:r>
      <w:r>
        <w:rPr>
          <w:rFonts w:ascii="PT Astra Serif" w:hAnsi="PT Astra Serif"/>
          <w:sz w:val="25"/>
          <w:szCs w:val="25"/>
          <w:highlight w:val="white"/>
        </w:rPr>
        <w:t xml:space="preserve">ной военной операции, и являющие</w:t>
      </w:r>
      <w:r>
        <w:rPr>
          <w:rFonts w:ascii="PT Astra Serif" w:hAnsi="PT Astra Serif"/>
          <w:sz w:val="25"/>
          <w:szCs w:val="25"/>
          <w:highlight w:val="white"/>
        </w:rPr>
        <w:t xml:space="preserve">ся ветеранами боевых действий, которые на день завершения своего участи</w:t>
      </w:r>
      <w:r>
        <w:rPr>
          <w:rFonts w:ascii="PT Astra Serif" w:hAnsi="PT Astra Serif"/>
          <w:sz w:val="25"/>
          <w:szCs w:val="25"/>
          <w:highlight w:val="white"/>
        </w:rPr>
        <w:t xml:space="preserve">я в специальной военной операции были зарегистрированы по месту жительства на территории Томской области, а при отсутствии регистрации по месту жительства - по месту пребывания на территории Томской области (далее - участники специальной военной операции);</w:t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984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 xml:space="preserve">б</w:t>
      </w:r>
      <w:r>
        <w:rPr>
          <w:rFonts w:ascii="PT Astra Serif" w:hAnsi="PT Astra Serif"/>
          <w:sz w:val="25"/>
          <w:szCs w:val="25"/>
          <w:highlight w:val="white"/>
        </w:rPr>
        <w:t xml:space="preserve">) члены</w:t>
      </w:r>
      <w:r>
        <w:rPr>
          <w:rFonts w:ascii="PT Astra Serif" w:hAnsi="PT Astra Serif"/>
          <w:sz w:val="25"/>
          <w:szCs w:val="25"/>
          <w:highlight w:val="white"/>
        </w:rPr>
        <w:t xml:space="preserve"> семей участников специальной военной операции, погибших (умерших) вследствие увечья (ранения, травмы, контузии) или заболевания, полученных ими в ходе участия в специальной военной о</w:t>
      </w:r>
      <w:r>
        <w:rPr>
          <w:rFonts w:ascii="PT Astra Serif" w:hAnsi="PT Astra Serif"/>
          <w:sz w:val="25"/>
          <w:szCs w:val="25"/>
          <w:highlight w:val="white"/>
        </w:rPr>
        <w:t xml:space="preserve">перации, которые на день гибели (смерти) участника специальной военной операции были зарегистрированы по месту жительства на территории Томской области, а при отсутствии регистрации по месту жительства - по месту пребывания на территории Томской области.»;</w:t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84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2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) пункт 7 изложить в следующей редакции:</w:t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84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«7. </w:t>
      </w:r>
      <w:r>
        <w:rPr>
          <w:rFonts w:ascii="PT Astra Serif" w:hAnsi="PT Astra Serif"/>
          <w:sz w:val="25"/>
          <w:szCs w:val="25"/>
          <w:highlight w:val="white"/>
        </w:rPr>
        <w:t xml:space="preserve">Информирование заявителей по вопросам предоставления государственной услуги проводится в следующих формах:</w:t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84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1) индивидуальное консультирование при непосредственном обращении заявителя;</w:t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84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2) индивидуальное консультирование в электронном виде посредством:</w:t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84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а) размещения консультационно-справочной информации на сайте департамента;</w:t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84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б) индивидуального консультирования путем направления в форме электронного документа отве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та на обращение, поступившее в форме электронного документа, по адресу электронной почты, указанному в обращении в форме электронного документа, или по адресу (уникальному идентификатору) личного кабинета гражданина на Едином портале при его использовании;</w:t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84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3) индивидуальное консультирование путем направления в письменной форме ответа на обращение, поступившее на бумажном носителе;</w:t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84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4) индивидуальное консультирование по номерам телефонов департамента.</w:t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84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Рассмотрение обращений, указанных в настоящем пункте, осуществляется в сроки и порядке, предусмотренные Федеральным законом от 2 мая 2006 года № 59-ФЗ «О порядке рассмотрения обращений граждан Российской Федерации.»;</w:t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84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3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) пункт 9 изложить в следующей редакции:</w:t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84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«9. Государственную услугу предоставляет Департамент по управлению государственной собственностью Томской области.»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;</w:t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84"/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4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) пункт 12 изложить в следующей редакции: </w:t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84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«12. Результатом предоставления государственной услуги является:</w:t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84"/>
        <w:ind w:firstLine="709"/>
        <w:jc w:val="both"/>
        <w:tabs>
          <w:tab w:val="left" w:pos="1276" w:leader="none"/>
          <w:tab w:val="left" w:pos="1418" w:leader="none"/>
        </w:tabs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 xml:space="preserve">1) вручение (направление) заявителю подписанного </w:t>
      </w:r>
      <w:r>
        <w:rPr>
          <w:rFonts w:ascii="PT Astra Serif" w:hAnsi="PT Astra Serif"/>
          <w:sz w:val="25"/>
          <w:szCs w:val="25"/>
          <w:highlight w:val="white"/>
        </w:rPr>
        <w:t xml:space="preserve">распоряжения </w:t>
      </w:r>
      <w:r>
        <w:rPr>
          <w:rFonts w:ascii="PT Astra Serif" w:hAnsi="PT Astra Serif"/>
          <w:sz w:val="25"/>
          <w:szCs w:val="25"/>
          <w:highlight w:val="white"/>
        </w:rPr>
        <w:t xml:space="preserve">Департамента </w:t>
      </w:r>
      <w:r>
        <w:rPr>
          <w:rFonts w:ascii="PT Astra Serif" w:hAnsi="PT Astra Serif" w:cs="Times New Roman"/>
          <w:sz w:val="26"/>
          <w:szCs w:val="26"/>
          <w:highlight w:val="white"/>
        </w:rPr>
        <w:t xml:space="preserve">о предоставлении земельного участка в собственность бесплатно</w:t>
      </w:r>
      <w:r>
        <w:rPr>
          <w:rFonts w:ascii="PT Astra Serif" w:hAnsi="PT Astra Serif"/>
          <w:sz w:val="25"/>
          <w:szCs w:val="25"/>
          <w:highlight w:val="white"/>
        </w:rPr>
        <w:t xml:space="preserve"> </w:t>
      </w:r>
      <w:r>
        <w:rPr>
          <w:rFonts w:ascii="PT Astra Serif" w:hAnsi="PT Astra Serif"/>
          <w:sz w:val="25"/>
          <w:szCs w:val="25"/>
          <w:highlight w:val="white"/>
        </w:rPr>
        <w:t xml:space="preserve">(далее </w:t>
      </w:r>
      <w:r>
        <w:rPr>
          <w:rFonts w:ascii="PT Astra Serif" w:hAnsi="PT Astra Serif"/>
          <w:sz w:val="25"/>
          <w:szCs w:val="25"/>
          <w:highlight w:val="white"/>
        </w:rPr>
        <w:t xml:space="preserve">– распоряжение Департамента</w:t>
      </w:r>
      <w:r>
        <w:rPr>
          <w:rFonts w:ascii="PT Astra Serif" w:hAnsi="PT Astra Serif"/>
          <w:sz w:val="25"/>
          <w:szCs w:val="25"/>
          <w:highlight w:val="white"/>
        </w:rPr>
        <w:t xml:space="preserve">);</w:t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984"/>
        <w:ind w:firstLine="709"/>
        <w:jc w:val="both"/>
        <w:tabs>
          <w:tab w:val="left" w:pos="1276" w:leader="none"/>
          <w:tab w:val="left" w:pos="1418" w:leader="none"/>
        </w:tabs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 xml:space="preserve">2) вручение (направление) заявителю уведомления об отказе в предоставлении государственной услуги (далее - уведомление об отказе), содержащего основания для такого отказа.</w:t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984"/>
        <w:ind w:firstLine="709"/>
        <w:jc w:val="both"/>
        <w:tabs>
          <w:tab w:val="left" w:pos="1276" w:leader="none"/>
          <w:tab w:val="left" w:pos="1418" w:leader="none"/>
        </w:tabs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Результат предоставления государственной услуги по выбору заявителя либо исходя из способа обращения за предоставлением государственной услуги может быть:</w:t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pStyle w:val="984"/>
        <w:ind w:firstLine="709"/>
        <w:jc w:val="both"/>
        <w:tabs>
          <w:tab w:val="left" w:pos="1276" w:leader="none"/>
          <w:tab w:val="left" w:pos="1418" w:leader="none"/>
        </w:tabs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1) выдан (вручен) заявителю (представителю заявителя) в форме бумажного документа посредством почтовой связи или выдан (вручен) заявителю (представителю заявителя) в Департаменте, 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в случае подачи заявления через многофункциональный центр - в многофункциональном центре (при условии заключения между департаментом и многофункциональным центром соглашения о взаимодействии)</w:t>
      </w:r>
      <w:r>
        <w:rPr>
          <w:rFonts w:ascii="PT Astra Serif" w:hAnsi="PT Astra Serif"/>
          <w:sz w:val="26"/>
          <w:szCs w:val="26"/>
          <w:highlight w:val="white"/>
        </w:rPr>
        <w:t xml:space="preserve">;</w:t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pStyle w:val="984"/>
        <w:ind w:firstLine="709"/>
        <w:jc w:val="both"/>
        <w:tabs>
          <w:tab w:val="left" w:pos="1276" w:leader="none"/>
          <w:tab w:val="left" w:pos="1418" w:leader="none"/>
        </w:tabs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2) направлен в форме электронного документа, подписанного усиленной квалифицированной электронной подписью на Едином портале.</w:t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pStyle w:val="984"/>
        <w:ind w:firstLine="709"/>
        <w:jc w:val="both"/>
        <w:tabs>
          <w:tab w:val="left" w:pos="1276" w:leader="none"/>
          <w:tab w:val="left" w:pos="1418" w:leader="none"/>
        </w:tabs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Формирование реестровой записи в качестве результата предоставления государственной услуги не предусмотрено.»;</w:t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pStyle w:val="984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sz w:val="25"/>
          <w:szCs w:val="25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5"/>
          <w:szCs w:val="25"/>
          <w:highlight w:val="white"/>
        </w:rPr>
        <w:t xml:space="preserve">5) пункт</w:t>
      </w:r>
      <w:r>
        <w:rPr>
          <w:rFonts w:ascii="PT Astra Serif" w:hAnsi="PT Astra Serif" w:eastAsia="PT Astra Serif" w:cs="PT Astra Serif"/>
          <w:sz w:val="25"/>
          <w:szCs w:val="25"/>
          <w:highlight w:val="white"/>
        </w:rPr>
        <w:t xml:space="preserve"> 13</w:t>
      </w:r>
      <w:r>
        <w:rPr>
          <w:rFonts w:ascii="PT Astra Serif" w:hAnsi="PT Astra Serif" w:eastAsia="PT Astra Serif" w:cs="PT Astra Serif"/>
          <w:sz w:val="25"/>
          <w:szCs w:val="25"/>
          <w:highlight w:val="white"/>
        </w:rPr>
        <w:t xml:space="preserve"> изложить в следующей редакции:</w:t>
      </w:r>
      <w:r>
        <w:rPr>
          <w:rFonts w:ascii="PT Astra Serif" w:hAnsi="PT Astra Serif" w:eastAsia="PT Astra Serif" w:cs="PT Astra Serif"/>
          <w:sz w:val="25"/>
          <w:szCs w:val="25"/>
          <w:highlight w:val="white"/>
        </w:rPr>
      </w:r>
    </w:p>
    <w:p>
      <w:pPr>
        <w:pStyle w:val="984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sz w:val="25"/>
          <w:szCs w:val="25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5"/>
          <w:szCs w:val="25"/>
          <w:highlight w:val="white"/>
        </w:rPr>
        <w:t xml:space="preserve">«13. </w:t>
      </w:r>
      <w:r>
        <w:rPr>
          <w:rFonts w:ascii="PT Astra Serif" w:hAnsi="PT Astra Serif" w:eastAsia="PT Astra Serif" w:cs="PT Astra Serif"/>
          <w:sz w:val="25"/>
          <w:szCs w:val="25"/>
          <w:highlight w:val="white"/>
        </w:rPr>
        <w:t xml:space="preserve">Срок предоставления государств</w:t>
      </w:r>
      <w:r>
        <w:rPr>
          <w:rFonts w:ascii="PT Astra Serif" w:hAnsi="PT Astra Serif" w:eastAsia="PT Astra Serif" w:cs="PT Astra Serif"/>
          <w:sz w:val="25"/>
          <w:szCs w:val="25"/>
          <w:highlight w:val="white"/>
        </w:rPr>
        <w:t xml:space="preserve">енной услуги составляет 15</w:t>
      </w:r>
      <w:r>
        <w:rPr>
          <w:rFonts w:ascii="PT Astra Serif" w:hAnsi="PT Astra Serif" w:eastAsia="PT Astra Serif" w:cs="PT Astra Serif"/>
          <w:sz w:val="25"/>
          <w:szCs w:val="25"/>
          <w:highlight w:val="white"/>
        </w:rPr>
        <w:t xml:space="preserve"> кал</w:t>
      </w:r>
      <w:r>
        <w:rPr>
          <w:rFonts w:ascii="PT Astra Serif" w:hAnsi="PT Astra Serif" w:eastAsia="PT Astra Serif" w:cs="PT Astra Serif"/>
          <w:sz w:val="25"/>
          <w:szCs w:val="25"/>
          <w:highlight w:val="white"/>
        </w:rPr>
        <w:t xml:space="preserve">ендарных дней со дня регистрации</w:t>
      </w:r>
      <w:r>
        <w:rPr>
          <w:rFonts w:ascii="PT Astra Serif" w:hAnsi="PT Astra Serif" w:eastAsia="PT Astra Serif" w:cs="PT Astra Serif"/>
          <w:sz w:val="25"/>
          <w:szCs w:val="25"/>
          <w:highlight w:val="white"/>
        </w:rPr>
        <w:t xml:space="preserve"> запроса о предоставлении государственной услуги в Департамент</w:t>
      </w:r>
      <w:r>
        <w:rPr>
          <w:rFonts w:ascii="PT Astra Serif" w:hAnsi="PT Astra Serif" w:eastAsia="PT Astra Serif" w:cs="PT Astra Serif"/>
          <w:sz w:val="25"/>
          <w:szCs w:val="25"/>
          <w:highlight w:val="white"/>
        </w:rPr>
        <w:t xml:space="preserve">е</w:t>
      </w:r>
      <w:r>
        <w:rPr>
          <w:rFonts w:ascii="PT Astra Serif" w:hAnsi="PT Astra Serif" w:eastAsia="PT Astra Serif" w:cs="PT Astra Serif"/>
          <w:sz w:val="25"/>
          <w:szCs w:val="25"/>
          <w:highlight w:val="white"/>
        </w:rPr>
        <w:t xml:space="preserve"> (далее - запрос), а в случаях, требующих опубликования Департаментом сообщения о приеме обращений в связи с принятием заявления о предоставлении</w:t>
      </w:r>
      <w:r>
        <w:rPr>
          <w:rFonts w:ascii="PT Astra Serif" w:hAnsi="PT Astra Serif" w:eastAsia="PT Astra Serif" w:cs="PT Astra Serif"/>
          <w:sz w:val="25"/>
          <w:szCs w:val="25"/>
          <w:highlight w:val="white"/>
        </w:rPr>
        <w:t xml:space="preserve"> земельного участка - 40</w:t>
      </w:r>
      <w:r>
        <w:rPr>
          <w:rFonts w:ascii="PT Astra Serif" w:hAnsi="PT Astra Serif" w:eastAsia="PT Astra Serif" w:cs="PT Astra Serif"/>
          <w:sz w:val="25"/>
          <w:szCs w:val="25"/>
          <w:highlight w:val="white"/>
        </w:rPr>
        <w:t xml:space="preserve"> кал</w:t>
      </w:r>
      <w:r>
        <w:rPr>
          <w:rFonts w:ascii="PT Astra Serif" w:hAnsi="PT Astra Serif" w:eastAsia="PT Astra Serif" w:cs="PT Astra Serif"/>
          <w:sz w:val="25"/>
          <w:szCs w:val="25"/>
          <w:highlight w:val="white"/>
        </w:rPr>
        <w:t xml:space="preserve">ендарных дней со дня регистрации</w:t>
      </w:r>
      <w:r>
        <w:rPr>
          <w:rFonts w:ascii="PT Astra Serif" w:hAnsi="PT Astra Serif" w:eastAsia="PT Astra Serif" w:cs="PT Astra Serif"/>
          <w:sz w:val="25"/>
          <w:szCs w:val="25"/>
          <w:highlight w:val="white"/>
        </w:rPr>
        <w:t xml:space="preserve"> запроса в Департамент.</w:t>
      </w:r>
      <w:r>
        <w:rPr>
          <w:rFonts w:ascii="PT Astra Serif" w:hAnsi="PT Astra Serif" w:eastAsia="PT Astra Serif" w:cs="PT Astra Serif"/>
          <w:sz w:val="25"/>
          <w:szCs w:val="25"/>
          <w:highlight w:val="white"/>
        </w:rPr>
        <w:t xml:space="preserve">»</w:t>
      </w:r>
      <w:r>
        <w:rPr>
          <w:rFonts w:ascii="PT Astra Serif" w:hAnsi="PT Astra Serif" w:eastAsia="PT Astra Serif" w:cs="PT Astra Serif"/>
          <w:sz w:val="25"/>
          <w:szCs w:val="25"/>
          <w:highlight w:val="white"/>
        </w:rPr>
        <w:t xml:space="preserve">;</w:t>
      </w:r>
      <w:r>
        <w:rPr>
          <w:rFonts w:ascii="PT Astra Serif" w:hAnsi="PT Astra Serif" w:eastAsia="PT Astra Serif" w:cs="PT Astra Serif"/>
          <w:sz w:val="25"/>
          <w:szCs w:val="25"/>
          <w:highlight w:val="white"/>
        </w:rPr>
      </w:r>
    </w:p>
    <w:p>
      <w:pPr>
        <w:pStyle w:val="984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sz w:val="25"/>
          <w:szCs w:val="25"/>
          <w:highlight w:val="yellow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5"/>
          <w:szCs w:val="25"/>
          <w:highlight w:val="yellow"/>
        </w:rPr>
        <w:t xml:space="preserve">6) дополнить пункт 15 абзацем следующего содержания:</w:t>
      </w:r>
      <w:r>
        <w:rPr>
          <w:rFonts w:ascii="PT Astra Serif" w:hAnsi="PT Astra Serif" w:eastAsia="PT Astra Serif" w:cs="PT Astra Serif"/>
          <w:sz w:val="25"/>
          <w:szCs w:val="25"/>
          <w:highlight w:val="yellow"/>
        </w:rPr>
      </w:r>
    </w:p>
    <w:p>
      <w:pPr>
        <w:pStyle w:val="984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sz w:val="25"/>
          <w:szCs w:val="25"/>
          <w:highlight w:val="yellow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5"/>
          <w:szCs w:val="25"/>
          <w:highlight w:val="yellow"/>
        </w:rPr>
        <w:t xml:space="preserve">«Гражданам, поставленным на учет в качестве лиц, имеющих право на предоставление земельных участков, находящихся в государственной собственности Томской области, в собственность бесплатно, подтверждать право заявителя на </w:t>
      </w:r>
      <w:r>
        <w:rPr>
          <w:rFonts w:ascii="PT Astra Serif" w:hAnsi="PT Astra Serif" w:eastAsia="PT Astra Serif" w:cs="PT Astra Serif"/>
          <w:sz w:val="25"/>
          <w:szCs w:val="25"/>
          <w:highlight w:val="yellow"/>
        </w:rPr>
        <w:t xml:space="preserve">приобретение земельного участка не требуется.»;</w:t>
      </w:r>
      <w:r>
        <w:rPr>
          <w:rFonts w:ascii="PT Astra Serif" w:hAnsi="PT Astra Serif" w:eastAsia="PT Astra Serif" w:cs="PT Astra Serif"/>
          <w:sz w:val="25"/>
          <w:szCs w:val="25"/>
          <w:highlight w:val="yellow"/>
        </w:rPr>
      </w:r>
    </w:p>
    <w:p>
      <w:pPr>
        <w:pStyle w:val="984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</w:pPr>
      <w:r/>
      <w:bookmarkStart w:id="2" w:name="_GoBack"/>
      <w:r/>
      <w:bookmarkEnd w:id="2"/>
      <w:r>
        <w:rPr>
          <w:rFonts w:ascii="PT Astra Serif" w:hAnsi="PT Astra Serif" w:cs="Times New Roman"/>
          <w:sz w:val="25"/>
          <w:szCs w:val="25"/>
          <w:highlight w:val="white"/>
        </w:rPr>
        <w:t xml:space="preserve">7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) </w:t>
      </w:r>
      <w:r>
        <w:rPr>
          <w:rFonts w:ascii="PT Astra Serif" w:hAnsi="PT Astra Serif" w:cs="PT Astra Serif"/>
          <w:sz w:val="25"/>
          <w:szCs w:val="25"/>
          <w:highlight w:val="white"/>
        </w:rPr>
        <w:t xml:space="preserve">дополнить пунктом 19-1 следующего содержания: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</w:r>
    </w:p>
    <w:p>
      <w:pPr>
        <w:pStyle w:val="984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«19-1. Регистрация запроса о предоставлении государственной услуги осуществляется Департаментом в день поступления зап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роса в Департамент независимо от формы поступления запроса (при личном присутствии заявителя, при направлении в электронном виде или почтовым отправлением в Департамент, в электронном виде с использованием Единого портала, через многофункциональный центр).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</w:p>
    <w:p>
      <w:pPr>
        <w:pStyle w:val="984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В случае поступления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 запроса о предоставлении государственной услуги вне времени приема входящей корреспонденции в Департаменте либо в выходной, нерабочий праздничный день его регистрация осуществляется в первый рабочий день, следующий за днем его поступления в Департамент.»;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</w:p>
    <w:p>
      <w:pPr>
        <w:pStyle w:val="984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8) в пункте 23: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</w:p>
    <w:p>
      <w:pPr>
        <w:pStyle w:val="984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а)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 подпункт 4) изложить в следующей редакции: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</w:p>
    <w:p>
      <w:pPr>
        <w:pStyle w:val="984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«4)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указанный в заявлении о предоставлении земельного участка земельный участок образован в результате раздела земельного участка, предоставленного садоводческому или огородническому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 некоммерческому товариществу, за исключением случаев обращения с таким заявлением члена этого товарищества (если такой земельный участок является садовым или огородным) либо гражданина, не обладающего правом участия (членства) в садоводческом или огородни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ческом некоммерческом товариществе, имеющего право на первоочередное или внеочередное приобретение земельного участка в соответствии с федеральными законами, законами субъектов Российской Федерации либо на приобретение земельного участка в соответствии со </w:t>
      </w:r>
      <w:hyperlink r:id="rId13" w:tooltip="https://internet.garant.ru/#/document/12124624/entry/3918" w:anchor="/document/12124624/entry/3918" w:history="1">
        <w:r>
          <w:rPr>
            <w:rStyle w:val="960"/>
            <w:rFonts w:ascii="PT Astra Serif" w:hAnsi="PT Astra Serif" w:eastAsia="PT Astra Serif" w:cs="PT Astra Serif"/>
            <w:color w:val="auto"/>
            <w:sz w:val="26"/>
            <w:szCs w:val="26"/>
            <w:highlight w:val="white"/>
            <w:u w:val="none"/>
          </w:rPr>
          <w:t xml:space="preserve">статьей 39.18</w:t>
        </w:r>
      </w:hyperlink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ЗК РФ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 (если такой земельный участо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к является садовым), а также за исключением собственников земельных участков, расположенных в границах территории ведения гражданами садоводства или огородничества для собственных нужд (если земельный участок является земельным участком общего назначения);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»;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</w:p>
    <w:p>
      <w:pPr>
        <w:pStyle w:val="984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б)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подпункт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1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4) изложить в следующей редакции: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</w:p>
    <w:p>
      <w:pPr>
        <w:pStyle w:val="984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«14)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в отношении земельного участка, указанного в заявлении о его предоставлении, размещено в соответствии с </w:t>
      </w:r>
      <w:hyperlink r:id="rId14" w:tooltip="https://internet.garant.ru/#/document/12124624/entry/391811" w:anchor="/document/12124624/entry/391811" w:history="1">
        <w:r>
          <w:rPr>
            <w:rStyle w:val="960"/>
            <w:rFonts w:ascii="PT Astra Serif" w:hAnsi="PT Astra Serif" w:eastAsia="PT Astra Serif" w:cs="PT Astra Serif"/>
            <w:color w:val="auto"/>
            <w:sz w:val="26"/>
            <w:szCs w:val="26"/>
            <w:highlight w:val="white"/>
            <w:u w:val="none"/>
          </w:rPr>
          <w:t xml:space="preserve">подпунктом 1 пункта 1 статьи 39.18</w:t>
        </w:r>
      </w:hyperlink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 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ЗК РФ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 извещение о предоставлении земельного участка для индивидуального жилищного строительства, ведения личного подсобного хозяйства в границах населенных пунктов, ведения гражданами садоводства для собственных нужд;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»;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</w:p>
    <w:p>
      <w:pPr>
        <w:pStyle w:val="984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в)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подпункт 1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5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) изложить в следующей редакции: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</w:p>
    <w:p>
      <w:pPr>
        <w:pStyle w:val="984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«15)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цель использования такого земельного участка, указанная в заявлении о предоставлении земельного участка, не соответствует основному виду разрешенного использования земельного участка, сведения о которо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м внесены в Единый государственный реестр недвижимости, или видам разрешенного использования земельного участка, установленным регламентом использования территории. Положения настоящего подпункта не применяются, если для цели, указанной в заявлении о предо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ставлении земельного участка, такой земельный участок может использоваться независимо от категории земель и вида разрешенного использования, а также в случае размещения линейного объекта в соответствии с утвержденной документацией по планировке территории;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»;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</w:p>
    <w:p>
      <w:pPr>
        <w:pStyle w:val="984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г)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 в подпункте 18) слово «предельный» исключить;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</w:p>
    <w:p>
      <w:pPr>
        <w:pStyle w:val="984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д)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 подпункт 19) изложить в следующей редакции: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</w:p>
    <w:p>
      <w:pPr>
        <w:pStyle w:val="984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«19)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указанный в заявлении о предоставлении земельного участка земельный участок в соответствии с утвержденной документацией по планировке территории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предназначен для размещения объектов федерального значения, о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бъектов регионального значения или объектов местного значения и с заявлением о предоставлении земельного участка обратилось лицо, не уполномоченное на строительство этих объектов, за исключением случаев, если с заявлением о предоставлении земельного участк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а обратились правообладатель расположенных на таком земельном участке здания, сооружения, помещений в них, собственник объекта незавершенного строительства, лицо, которому такой земельный участок предоставлен на праве постоянного (бессрочного) пользования;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»;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</w:p>
    <w:p>
      <w:pPr>
        <w:pStyle w:val="984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е)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 подпункт 20) изложить в следующей редакции: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</w:p>
    <w:p>
      <w:pPr>
        <w:pStyle w:val="984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«20)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указанный в заявлении о предоставлении земельного участка земельный участок предназначен для размещения здания, сооружения в соответствии с государственной программой Российской Федерации, госуд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арственной программой субъекта Российской Федерации и с заявлением о предоставлении земельного участка обратилось лицо, не уполномоченное на строительство этих здания, сооружения, за исключением случаев, если с заявлением о предоставлении земельного участк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а обратились правообладатель расположенных на таком земельном участке здания, сооружения, помещений в них, собственник объекта незавершенного строительства, лицо, которому такой земельный участок предоставлен на праве постоянного (бессрочного) пользования;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»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</w:p>
    <w:p>
      <w:pPr>
        <w:pStyle w:val="984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9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) </w:t>
      </w:r>
      <w:r>
        <w:rPr>
          <w:rFonts w:ascii="PT Astra Serif" w:hAnsi="PT Astra Serif" w:cs="PT Astra Serif"/>
          <w:sz w:val="25"/>
          <w:szCs w:val="25"/>
          <w:highlight w:val="white"/>
        </w:rPr>
        <w:t xml:space="preserve">дополнить пунктом 23-1 следующего содержания:</w:t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84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«23-1. В случае отказа в предоставлении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 государственной услуги департамент обязан в течение срока предоставления государственной услуги направить заявителю уведомление об отказе в предоставлении государственной услуги с указанием причин такого отказа, перечня документов и информации, отсутствие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услуги.»;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</w:r>
    </w:p>
    <w:p>
      <w:pPr>
        <w:pStyle w:val="984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10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) дополнить пунктом 28-1 следующего содержания:</w:t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84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«2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8-1. Информация, содержащаяся в 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пунктах 26,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 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28 Административ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ного регламента, размещается на </w:t>
      </w:r>
      <w:hyperlink r:id="rId15" w:tooltip="https://dugs.tomsk.gov.ru/" w:history="1">
        <w:r>
          <w:rPr>
            <w:rFonts w:ascii="PT Astra Serif" w:hAnsi="PT Astra Serif" w:cs="Times New Roman"/>
            <w:sz w:val="25"/>
            <w:szCs w:val="25"/>
            <w:highlight w:val="white"/>
          </w:rPr>
          <w:t xml:space="preserve">официальном сайте</w:t>
        </w:r>
      </w:hyperlink>
      <w:r>
        <w:rPr>
          <w:rFonts w:ascii="PT Astra Serif" w:hAnsi="PT Astra Serif" w:cs="Times New Roman"/>
          <w:sz w:val="25"/>
          <w:szCs w:val="25"/>
          <w:highlight w:val="white"/>
        </w:rPr>
        <w:t xml:space="preserve"> 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департамента и на </w:t>
      </w:r>
      <w:hyperlink r:id="rId16" w:tooltip="http://www.gosuslugi.ru/" w:history="1">
        <w:r>
          <w:rPr>
            <w:rFonts w:ascii="PT Astra Serif" w:hAnsi="PT Astra Serif" w:cs="Times New Roman"/>
            <w:sz w:val="25"/>
            <w:szCs w:val="25"/>
            <w:highlight w:val="white"/>
          </w:rPr>
          <w:t xml:space="preserve">Едином</w:t>
        </w:r>
        <w:r>
          <w:rPr>
            <w:rFonts w:ascii="PT Astra Serif" w:hAnsi="PT Astra Serif" w:cs="Times New Roman"/>
            <w:sz w:val="25"/>
            <w:szCs w:val="25"/>
            <w:highlight w:val="white"/>
          </w:rPr>
          <w:t xml:space="preserve"> </w:t>
        </w:r>
        <w:r>
          <w:rPr>
            <w:rFonts w:ascii="PT Astra Serif" w:hAnsi="PT Astra Serif" w:cs="Times New Roman"/>
            <w:sz w:val="25"/>
            <w:szCs w:val="25"/>
            <w:highlight w:val="white"/>
          </w:rPr>
          <w:t xml:space="preserve">портале</w:t>
        </w:r>
      </w:hyperlink>
      <w:r>
        <w:rPr>
          <w:rFonts w:ascii="PT Astra Serif" w:hAnsi="PT Astra Serif" w:cs="Times New Roman"/>
          <w:sz w:val="25"/>
          <w:szCs w:val="25"/>
          <w:highlight w:val="white"/>
        </w:rPr>
        <w:t xml:space="preserve">.»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;</w:t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84"/>
        <w:ind w:left="709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11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) 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дополнить раздела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м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и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 6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, 7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 следующего содержания:</w:t>
      </w:r>
      <w:r>
        <w:rPr>
          <w:rFonts w:ascii="PT Astra Serif" w:hAnsi="PT Astra Serif"/>
          <w:sz w:val="25"/>
          <w:szCs w:val="25"/>
          <w:highlight w:val="white"/>
        </w:rPr>
        <w:t xml:space="preserve"> </w:t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984"/>
        <w:ind w:firstLine="709"/>
        <w:jc w:val="center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 xml:space="preserve">«6. Способы информирования заявителя об изменении статуса </w:t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984"/>
        <w:ind w:firstLine="709"/>
        <w:jc w:val="center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 xml:space="preserve">рассмотрения запроса о предоставлении государственной услуги</w:t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984"/>
        <w:ind w:firstLine="709"/>
        <w:jc w:val="both"/>
        <w:tabs>
          <w:tab w:val="left" w:pos="993" w:leader="none"/>
        </w:tabs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47. </w:t>
      </w:r>
      <w:r>
        <w:rPr>
          <w:rFonts w:ascii="PT Astra Serif" w:hAnsi="PT Astra Serif"/>
          <w:sz w:val="25"/>
          <w:szCs w:val="25"/>
          <w:highlight w:val="white"/>
        </w:rPr>
        <w:t xml:space="preserve">Способы информирования заявителя об изменении статуса рассмотрения запроса о предоставлении государственной услуги:</w:t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Calibri"/>
          <w:sz w:val="25"/>
          <w:szCs w:val="25"/>
          <w:highlight w:val="white"/>
        </w:rPr>
      </w:pPr>
      <w:r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 xml:space="preserve">1) направление уведомления на адрес электронной почты, указанный заявителем, в форме текстового сообщения;</w:t>
      </w:r>
      <w:r>
        <w:rPr>
          <w:rFonts w:ascii="PT Astra Serif" w:hAnsi="PT Astra Serif" w:cs="Calibri"/>
          <w:sz w:val="25"/>
          <w:szCs w:val="25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Calibri"/>
          <w:sz w:val="25"/>
          <w:szCs w:val="25"/>
          <w:highlight w:val="white"/>
        </w:rPr>
      </w:pPr>
      <w:r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 xml:space="preserve">2) сообщение об изменении статуса по телефону заявителя;</w:t>
      </w:r>
      <w:r>
        <w:rPr>
          <w:rFonts w:ascii="PT Astra Serif" w:hAnsi="PT Astra Serif" w:cs="Calibri"/>
          <w:sz w:val="25"/>
          <w:szCs w:val="25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 xml:space="preserve">3) получение информации непосредственно в Департаменте</w:t>
      </w:r>
      <w:r>
        <w:rPr>
          <w:rFonts w:ascii="PT Astra Serif" w:hAnsi="PT Astra Serif"/>
          <w:sz w:val="25"/>
          <w:szCs w:val="25"/>
          <w:highlight w:val="white"/>
        </w:rPr>
        <w:t xml:space="preserve">;</w:t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Calibri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 xml:space="preserve">4) в личном кабинете на Едином портале (в случае подачи заявления посредством и</w:t>
      </w:r>
      <w:r>
        <w:rPr>
          <w:rFonts w:ascii="PT Astra Serif" w:hAnsi="PT Astra Serif"/>
          <w:sz w:val="25"/>
          <w:szCs w:val="25"/>
          <w:highlight w:val="white"/>
        </w:rPr>
        <w:t xml:space="preserve">спользования Единого портала).</w:t>
      </w:r>
      <w:r>
        <w:rPr>
          <w:rFonts w:ascii="PT Astra Serif" w:hAnsi="PT Astra Serif" w:cs="Calibri"/>
          <w:sz w:val="25"/>
          <w:szCs w:val="25"/>
          <w:highlight w:val="white"/>
        </w:rPr>
      </w:r>
    </w:p>
    <w:p>
      <w:pPr>
        <w:pStyle w:val="984"/>
        <w:ind w:firstLine="709"/>
        <w:jc w:val="center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7. Иные требования к предоставлению государственной услуги</w:t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84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48. Услуги, которые являются необходимыми и обязательными для предоставления государственной услуги, отсутствуют.</w:t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84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49. Перечень информационных систем, используемых для предоставления государственной услуги:</w:t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84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1) Программный комплекс «Собственность-СМАРТ»;</w:t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84"/>
        <w:ind w:firstLine="709"/>
        <w:jc w:val="both"/>
        <w:tabs>
          <w:tab w:val="left" w:pos="993" w:leader="none"/>
        </w:tabs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2) Федеральная государственная информационная система «Единая цифровая платформа «Национальная система пространственных данных»</w:t>
      </w:r>
      <w:r>
        <w:rPr>
          <w:rFonts w:ascii="PT Astra Serif" w:hAnsi="PT Astra Serif"/>
          <w:sz w:val="25"/>
          <w:szCs w:val="25"/>
          <w:highlight w:val="white"/>
        </w:rPr>
        <w:t xml:space="preserve">.</w:t>
      </w:r>
      <w:r>
        <w:rPr>
          <w:rFonts w:ascii="PT Astra Serif" w:hAnsi="PT Astra Serif"/>
          <w:sz w:val="25"/>
          <w:szCs w:val="25"/>
          <w:highlight w:val="white"/>
        </w:rPr>
        <w:t xml:space="preserve">».</w:t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984"/>
        <w:numPr>
          <w:ilvl w:val="0"/>
          <w:numId w:val="4"/>
        </w:numPr>
        <w:jc w:val="both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 xml:space="preserve">Настоящий приказ вступает в силу со дня его официального опубликования.</w:t>
      </w:r>
      <w:r>
        <w:rPr>
          <w:rFonts w:ascii="PT Astra Serif" w:hAnsi="PT Astra Serif" w:cs="Times New Roman"/>
          <w:sz w:val="25"/>
          <w:szCs w:val="25"/>
        </w:rPr>
      </w:r>
    </w:p>
    <w:p>
      <w:pPr>
        <w:pStyle w:val="984"/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84"/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84"/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tbl>
      <w:tblPr>
        <w:tblW w:w="978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429"/>
        <w:gridCol w:w="3190"/>
        <w:gridCol w:w="3161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29" w:type="dxa"/>
            <w:textDirection w:val="lrTb"/>
            <w:noWrap/>
          </w:tcPr>
          <w:p>
            <w:pPr>
              <w:ind w:right="182"/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5"/>
                <w:szCs w:val="25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5"/>
                <w:szCs w:val="25"/>
                <w:highlight w:val="white"/>
              </w:rPr>
              <w:t xml:space="preserve">Начальник Департамента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5"/>
                <w:szCs w:val="25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5"/>
                <w:szCs w:val="25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ffffff" w:themeColor="background1"/>
                <w:sz w:val="25"/>
                <w:szCs w:val="25"/>
                <w:highlight w:val="white"/>
              </w:rPr>
              <w:fldChar w:fldCharType="begin"/>
            </w:r>
            <w:bookmarkStart w:id="3" w:name="Штамп"/>
            <w:r>
              <w:rPr>
                <w:rFonts w:ascii="PT Astra Serif" w:hAnsi="PT Astra Serif" w:eastAsia="PT Astra Serif" w:cs="PT Astra Serif"/>
                <w:color w:val="ffffff" w:themeColor="background1"/>
                <w:sz w:val="25"/>
                <w:szCs w:val="25"/>
                <w:highlight w:val="white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5"/>
                <w:szCs w:val="25"/>
                <w:highlight w:val="white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5"/>
                <w:szCs w:val="25"/>
                <w:highlight w:val="white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5"/>
                <w:szCs w:val="25"/>
                <w:highlight w:val="white"/>
              </w:rPr>
              <w:fldChar w:fldCharType="end"/>
            </w:r>
            <w:bookmarkEnd w:id="3"/>
            <w:r/>
            <w:r>
              <w:rPr>
                <w:rFonts w:ascii="PT Astra Serif" w:hAnsi="PT Astra Serif" w:eastAsia="PT Astra Serif" w:cs="PT Astra Serif"/>
                <w:color w:val="000000" w:themeColor="text1"/>
                <w:sz w:val="25"/>
                <w:szCs w:val="25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6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5"/>
                <w:szCs w:val="25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5"/>
                <w:szCs w:val="25"/>
                <w:highlight w:val="white"/>
              </w:rPr>
              <w:t xml:space="preserve"> Т.А. Исакова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5"/>
                <w:szCs w:val="25"/>
                <w:highlight w:val="white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</w:rPr>
        <w:pBdr>
          <w:left w:val="none" w:color="000000" w:sz="4" w:space="2"/>
        </w:pBd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</w:rPr>
        <w:pBdr>
          <w:left w:val="none" w:color="000000" w:sz="4" w:space="2"/>
        </w:pBd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</w:rPr>
        <w:pBdr>
          <w:left w:val="none" w:color="000000" w:sz="4" w:space="2"/>
        </w:pBdr>
      </w:pPr>
      <w:r>
        <w:rPr>
          <w:rFonts w:ascii="PT Astra Serif" w:hAnsi="PT Astra Serif" w:eastAsia="PT Astra Serif" w:cs="PT Astra Serif"/>
        </w:rPr>
        <w:t xml:space="preserve">Согласовано:</w:t>
      </w:r>
      <w:r>
        <w:rPr>
          <w:rFonts w:ascii="PT Astra Serif" w:hAnsi="PT Astra Serif" w:eastAsia="PT Astra Serif" w:cs="PT Astra Serif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</w:rPr>
        <w:pBdr>
          <w:left w:val="none" w:color="000000" w:sz="4" w:space="2"/>
        </w:pBd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</w:rPr>
        <w:pBdr>
          <w:left w:val="none" w:color="000000" w:sz="4" w:space="2"/>
        </w:pBdr>
      </w:pPr>
      <w:r>
        <w:rPr>
          <w:rFonts w:ascii="PT Astra Serif" w:hAnsi="PT Astra Serif" w:eastAsia="PT Astra Serif" w:cs="PT Astra Serif"/>
        </w:rPr>
        <w:t xml:space="preserve">заместитель начальника департамента – </w:t>
      </w:r>
      <w:r>
        <w:rPr>
          <w:rFonts w:ascii="PT Astra Serif" w:hAnsi="PT Astra Serif" w:eastAsia="PT Astra Serif" w:cs="PT Astra Serif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</w:rPr>
        <w:pBdr>
          <w:left w:val="none" w:color="000000" w:sz="4" w:space="2"/>
        </w:pBdr>
      </w:pPr>
      <w:r>
        <w:rPr>
          <w:rFonts w:ascii="PT Astra Serif" w:hAnsi="PT Astra Serif" w:eastAsia="PT Astra Serif" w:cs="PT Astra Serif"/>
        </w:rPr>
        <w:t xml:space="preserve">председатель правового комитета                                                                                               М.И. Осокина</w:t>
      </w:r>
      <w:r>
        <w:rPr>
          <w:rFonts w:ascii="PT Astra Serif" w:hAnsi="PT Astra Serif" w:eastAsia="PT Astra Serif" w:cs="PT Astra Serif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</w:rPr>
        <w:pBdr>
          <w:left w:val="none" w:color="000000" w:sz="4" w:space="2"/>
        </w:pBd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</w:rPr>
        <w:pBdr>
          <w:left w:val="none" w:color="000000" w:sz="4" w:space="2"/>
        </w:pBd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</w:rPr>
        <w:pBdr>
          <w:left w:val="none" w:color="000000" w:sz="4" w:space="2"/>
        </w:pBdr>
      </w:pPr>
      <w:r>
        <w:rPr>
          <w:rFonts w:ascii="PT Astra Serif" w:hAnsi="PT Astra Serif" w:eastAsia="PT Astra Serif" w:cs="PT Astra Serif"/>
        </w:rPr>
        <w:t xml:space="preserve">пр</w:t>
      </w:r>
      <w:r>
        <w:rPr>
          <w:rFonts w:ascii="PT Astra Serif" w:hAnsi="PT Astra Serif" w:eastAsia="PT Astra Serif" w:cs="PT Astra Serif"/>
        </w:rPr>
        <w:t xml:space="preserve">едседатель комитета по управлению</w:t>
      </w:r>
      <w:r>
        <w:rPr>
          <w:rFonts w:ascii="PT Astra Serif" w:hAnsi="PT Astra Serif" w:eastAsia="PT Astra Serif" w:cs="PT Astra Serif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</w:rPr>
        <w:pBdr>
          <w:left w:val="none" w:color="000000" w:sz="4" w:space="2"/>
        </w:pBdr>
      </w:pPr>
      <w:r>
        <w:rPr>
          <w:rFonts w:ascii="PT Astra Serif" w:hAnsi="PT Astra Serif" w:eastAsia="PT Astra Serif" w:cs="PT Astra Serif"/>
        </w:rPr>
        <w:t xml:space="preserve">земельными ресурсами                                                                                                            М.М. Гребенщикова</w:t>
      </w:r>
      <w:r>
        <w:rPr>
          <w:rFonts w:ascii="PT Astra Serif" w:hAnsi="PT Astra Serif" w:eastAsia="PT Astra Serif" w:cs="PT Astra Serif"/>
        </w:rPr>
      </w:r>
    </w:p>
    <w:p>
      <w:pPr>
        <w:jc w:val="both"/>
        <w:tabs>
          <w:tab w:val="left" w:pos="7088" w:leader="none"/>
        </w:tabs>
        <w:rPr>
          <w:rFonts w:ascii="PT Astra Serif" w:hAnsi="PT Astra Serif"/>
          <w:highlight w:val="white"/>
        </w:rPr>
      </w:pPr>
      <w:r>
        <w:rPr>
          <w:rFonts w:ascii="PT Astra Serif" w:hAnsi="PT Astra Serif"/>
          <w:highlight w:val="white"/>
        </w:rPr>
      </w:r>
      <w:r>
        <w:rPr>
          <w:rFonts w:ascii="PT Astra Serif" w:hAnsi="PT Astra Serif"/>
          <w:highlight w:val="white"/>
        </w:rPr>
      </w:r>
    </w:p>
    <w:sectPr>
      <w:headerReference w:type="default" r:id="rId9"/>
      <w:headerReference w:type="first" r:id="rId10"/>
      <w:footnotePr/>
      <w:endnotePr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0"/>
      <w:spacing w:before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 xml:space="preserve">5</w:t>
    </w:r>
    <w:r>
      <w:rPr>
        <w:rFonts w:ascii="PT Astra Serif" w:hAnsi="PT Astra Serif"/>
        <w:b w:val="0"/>
        <w:sz w:val="24"/>
        <w:szCs w:val="24"/>
      </w:rPr>
      <w:fldChar w:fldCharType="end"/>
    </w:r>
    <w:r>
      <w:rPr>
        <w:rFonts w:ascii="PT Astra Serif" w:hAnsi="PT Astra Serif"/>
        <w:b w:val="0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bo-CN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3.25pt;height:48.7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PT Astra Serif" w:hAnsi="PT Astra Serif" w:eastAsia="PT Astra Serif" w:cs="PT Astra Serif"/>
        <w:b/>
        <w:sz w:val="12"/>
        <w:szCs w:val="12"/>
      </w:rPr>
    </w:r>
  </w:p>
  <w:p>
    <w:pPr>
      <w:pStyle w:val="830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</w:t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830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по управлению государственной собственностью Томской области</w:t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830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eastAsia="PT Astra Serif" w:cs="PT Astra Serif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5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345" w:hanging="360"/>
      </w:pPr>
      <w:rPr>
        <w:rFonts w:hint="default" w:ascii="PT Astra Serif" w:hAnsi="PT Astra Serif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2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4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345" w:hanging="360"/>
      </w:pPr>
      <w:rPr>
        <w:rFonts w:hint="default" w:ascii="PT Astra Serif" w:hAnsi="PT Astra Serif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2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4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80" w:hanging="3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345" w:hanging="360"/>
      </w:pPr>
      <w:rPr>
        <w:rFonts w:hint="default" w:ascii="PT Astra Serif" w:hAnsi="PT Astra Serif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2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4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50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22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4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6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8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0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2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4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64" w:hanging="180"/>
      </w:pPr>
    </w:lvl>
  </w:abstractNum>
  <w:abstractNum w:abstractNumId="19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50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22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4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6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8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0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2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4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64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345" w:hanging="360"/>
      </w:pPr>
      <w:rPr>
        <w:rFonts w:hint="default" w:ascii="PT Astra Serif" w:hAnsi="PT Astra Serif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2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49" w:hanging="180"/>
      </w:pPr>
    </w:lvl>
  </w:abstractNum>
  <w:abstractNum w:abstractNumId="23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6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2"/>
  </w:num>
  <w:num w:numId="3">
    <w:abstractNumId w:val="24"/>
  </w:num>
  <w:num w:numId="4">
    <w:abstractNumId w:val="21"/>
  </w:num>
  <w:num w:numId="5">
    <w:abstractNumId w:val="19"/>
  </w:num>
  <w:num w:numId="6">
    <w:abstractNumId w:val="16"/>
  </w:num>
  <w:num w:numId="7">
    <w:abstractNumId w:val="23"/>
  </w:num>
  <w:num w:numId="8">
    <w:abstractNumId w:val="7"/>
  </w:num>
  <w:num w:numId="9">
    <w:abstractNumId w:val="26"/>
  </w:num>
  <w:num w:numId="10">
    <w:abstractNumId w:val="4"/>
  </w:num>
  <w:num w:numId="11">
    <w:abstractNumId w:val="8"/>
  </w:num>
  <w:num w:numId="12">
    <w:abstractNumId w:val="20"/>
  </w:num>
  <w:num w:numId="13">
    <w:abstractNumId w:val="11"/>
  </w:num>
  <w:num w:numId="14">
    <w:abstractNumId w:val="3"/>
  </w:num>
  <w:num w:numId="15">
    <w:abstractNumId w:val="5"/>
  </w:num>
  <w:num w:numId="16">
    <w:abstractNumId w:val="12"/>
  </w:num>
  <w:num w:numId="17">
    <w:abstractNumId w:val="0"/>
  </w:num>
  <w:num w:numId="18">
    <w:abstractNumId w:val="17"/>
  </w:num>
  <w:num w:numId="19">
    <w:abstractNumId w:val="22"/>
  </w:num>
  <w:num w:numId="20">
    <w:abstractNumId w:val="9"/>
  </w:num>
  <w:num w:numId="21">
    <w:abstractNumId w:val="1"/>
  </w:num>
  <w:num w:numId="22">
    <w:abstractNumId w:val="14"/>
  </w:num>
  <w:num w:numId="23">
    <w:abstractNumId w:val="18"/>
  </w:num>
  <w:num w:numId="24">
    <w:abstractNumId w:val="10"/>
  </w:num>
  <w:num w:numId="25">
    <w:abstractNumId w:val="25"/>
  </w:num>
  <w:num w:numId="26">
    <w:abstractNumId w:val="13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56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57">
    <w:name w:val="Heading 1"/>
    <w:link w:val="811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58">
    <w:name w:val="Heading 2"/>
    <w:link w:val="812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59">
    <w:name w:val="Heading 3"/>
    <w:link w:val="81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60">
    <w:name w:val="Heading 4"/>
    <w:link w:val="81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61">
    <w:name w:val="Heading 5"/>
    <w:link w:val="81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62">
    <w:name w:val="Heading 6"/>
    <w:link w:val="81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63">
    <w:name w:val="Heading 7"/>
    <w:link w:val="81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64">
    <w:name w:val="Heading 8"/>
    <w:link w:val="81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65">
    <w:name w:val="Heading 9"/>
    <w:link w:val="81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66" w:default="1">
    <w:name w:val="Default Paragraph Font"/>
    <w:uiPriority w:val="1"/>
    <w:semiHidden/>
    <w:unhideWhenUsed/>
  </w:style>
  <w:style w:type="table" w:styleId="76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8" w:default="1">
    <w:name w:val="No List"/>
    <w:uiPriority w:val="99"/>
    <w:semiHidden/>
    <w:unhideWhenUsed/>
  </w:style>
  <w:style w:type="character" w:styleId="769" w:customStyle="1">
    <w:name w:val="Caption Char"/>
    <w:basedOn w:val="766"/>
    <w:uiPriority w:val="35"/>
    <w:rPr>
      <w:b/>
      <w:bCs/>
      <w:color w:val="4f81bd" w:themeColor="accent1"/>
      <w:sz w:val="18"/>
      <w:szCs w:val="18"/>
    </w:rPr>
  </w:style>
  <w:style w:type="character" w:styleId="770" w:customStyle="1">
    <w:name w:val="Endnote Text Char"/>
    <w:uiPriority w:val="99"/>
    <w:rPr>
      <w:sz w:val="20"/>
    </w:rPr>
  </w:style>
  <w:style w:type="character" w:styleId="771" w:customStyle="1">
    <w:name w:val="Heading 1 Char"/>
    <w:basedOn w:val="766"/>
    <w:uiPriority w:val="9"/>
    <w:rPr>
      <w:rFonts w:ascii="Arial" w:hAnsi="Arial" w:eastAsia="Arial" w:cs="Arial"/>
      <w:sz w:val="40"/>
      <w:szCs w:val="40"/>
    </w:rPr>
  </w:style>
  <w:style w:type="character" w:styleId="772" w:customStyle="1">
    <w:name w:val="Heading 2 Char"/>
    <w:basedOn w:val="766"/>
    <w:uiPriority w:val="9"/>
    <w:rPr>
      <w:rFonts w:ascii="Arial" w:hAnsi="Arial" w:eastAsia="Arial" w:cs="Arial"/>
      <w:sz w:val="34"/>
    </w:rPr>
  </w:style>
  <w:style w:type="character" w:styleId="773" w:customStyle="1">
    <w:name w:val="Heading 3 Char"/>
    <w:basedOn w:val="766"/>
    <w:uiPriority w:val="9"/>
    <w:rPr>
      <w:rFonts w:ascii="Arial" w:hAnsi="Arial" w:eastAsia="Arial" w:cs="Arial"/>
      <w:sz w:val="30"/>
      <w:szCs w:val="30"/>
    </w:rPr>
  </w:style>
  <w:style w:type="character" w:styleId="774" w:customStyle="1">
    <w:name w:val="Heading 4 Char"/>
    <w:basedOn w:val="766"/>
    <w:uiPriority w:val="9"/>
    <w:rPr>
      <w:rFonts w:ascii="Arial" w:hAnsi="Arial" w:eastAsia="Arial" w:cs="Arial"/>
      <w:b/>
      <w:bCs/>
      <w:sz w:val="26"/>
      <w:szCs w:val="26"/>
    </w:rPr>
  </w:style>
  <w:style w:type="character" w:styleId="775" w:customStyle="1">
    <w:name w:val="Heading 5 Char"/>
    <w:basedOn w:val="766"/>
    <w:uiPriority w:val="9"/>
    <w:rPr>
      <w:rFonts w:ascii="Arial" w:hAnsi="Arial" w:eastAsia="Arial" w:cs="Arial"/>
      <w:b/>
      <w:bCs/>
      <w:sz w:val="24"/>
      <w:szCs w:val="24"/>
    </w:rPr>
  </w:style>
  <w:style w:type="character" w:styleId="776" w:customStyle="1">
    <w:name w:val="Heading 6 Char"/>
    <w:basedOn w:val="766"/>
    <w:uiPriority w:val="9"/>
    <w:rPr>
      <w:rFonts w:ascii="Arial" w:hAnsi="Arial" w:eastAsia="Arial" w:cs="Arial"/>
      <w:b/>
      <w:bCs/>
      <w:sz w:val="22"/>
      <w:szCs w:val="22"/>
    </w:rPr>
  </w:style>
  <w:style w:type="character" w:styleId="777" w:customStyle="1">
    <w:name w:val="Heading 7 Char"/>
    <w:basedOn w:val="7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8" w:customStyle="1">
    <w:name w:val="Heading 8 Char"/>
    <w:basedOn w:val="766"/>
    <w:uiPriority w:val="9"/>
    <w:rPr>
      <w:rFonts w:ascii="Arial" w:hAnsi="Arial" w:eastAsia="Arial" w:cs="Arial"/>
      <w:i/>
      <w:iCs/>
      <w:sz w:val="22"/>
      <w:szCs w:val="22"/>
    </w:rPr>
  </w:style>
  <w:style w:type="character" w:styleId="779" w:customStyle="1">
    <w:name w:val="Heading 9 Char"/>
    <w:basedOn w:val="766"/>
    <w:uiPriority w:val="9"/>
    <w:rPr>
      <w:rFonts w:ascii="Arial" w:hAnsi="Arial" w:eastAsia="Arial" w:cs="Arial"/>
      <w:i/>
      <w:iCs/>
      <w:sz w:val="21"/>
      <w:szCs w:val="21"/>
    </w:rPr>
  </w:style>
  <w:style w:type="character" w:styleId="780" w:customStyle="1">
    <w:name w:val="Title Char"/>
    <w:basedOn w:val="766"/>
    <w:uiPriority w:val="10"/>
    <w:rPr>
      <w:sz w:val="48"/>
      <w:szCs w:val="48"/>
    </w:rPr>
  </w:style>
  <w:style w:type="character" w:styleId="781" w:customStyle="1">
    <w:name w:val="Subtitle Char"/>
    <w:basedOn w:val="766"/>
    <w:uiPriority w:val="11"/>
    <w:rPr>
      <w:sz w:val="24"/>
      <w:szCs w:val="24"/>
    </w:rPr>
  </w:style>
  <w:style w:type="character" w:styleId="782" w:customStyle="1">
    <w:name w:val="Quote Char"/>
    <w:uiPriority w:val="29"/>
    <w:rPr>
      <w:i/>
    </w:rPr>
  </w:style>
  <w:style w:type="character" w:styleId="783" w:customStyle="1">
    <w:name w:val="Intense Quote Char"/>
    <w:uiPriority w:val="30"/>
    <w:rPr>
      <w:i/>
    </w:rPr>
  </w:style>
  <w:style w:type="character" w:styleId="784" w:customStyle="1">
    <w:name w:val="Header Char"/>
    <w:basedOn w:val="766"/>
    <w:uiPriority w:val="99"/>
  </w:style>
  <w:style w:type="character" w:styleId="785" w:customStyle="1">
    <w:name w:val="Footer Char"/>
    <w:basedOn w:val="766"/>
    <w:uiPriority w:val="99"/>
  </w:style>
  <w:style w:type="character" w:styleId="786" w:customStyle="1">
    <w:name w:val="Название объекта Знак"/>
    <w:link w:val="976"/>
    <w:uiPriority w:val="99"/>
  </w:style>
  <w:style w:type="table" w:styleId="787">
    <w:name w:val="Plain Table 1"/>
    <w:basedOn w:val="767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8">
    <w:name w:val="Plain Table 2"/>
    <w:basedOn w:val="767"/>
    <w:uiPriority w:val="59"/>
    <w:tblPr>
      <w:tblInd w:w="0" w:type="dxa"/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9">
    <w:name w:val="Plain Table 3"/>
    <w:basedOn w:val="76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0">
    <w:name w:val="Plain Table 4"/>
    <w:basedOn w:val="76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Plain Table 5"/>
    <w:basedOn w:val="76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2">
    <w:name w:val="Grid Table 1 Light"/>
    <w:basedOn w:val="767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Grid Table 2"/>
    <w:basedOn w:val="767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"/>
    <w:basedOn w:val="767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4"/>
    <w:basedOn w:val="767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6">
    <w:name w:val="Grid Table 5 Dark"/>
    <w:basedOn w:val="76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797">
    <w:name w:val="Grid Table 6 Colorful"/>
    <w:basedOn w:val="767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8">
    <w:name w:val="Grid Table 7 Colorful"/>
    <w:basedOn w:val="767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"/>
    <w:basedOn w:val="76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2"/>
    <w:basedOn w:val="767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1">
    <w:name w:val="List Table 3"/>
    <w:basedOn w:val="767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"/>
    <w:basedOn w:val="767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767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>
    <w:name w:val="List Table 6 Colorful"/>
    <w:basedOn w:val="767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5">
    <w:name w:val="List Table 7 Colorful"/>
    <w:basedOn w:val="767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806" w:customStyle="1">
    <w:name w:val="Footnote Text Char"/>
    <w:uiPriority w:val="99"/>
    <w:rPr>
      <w:sz w:val="18"/>
    </w:rPr>
  </w:style>
  <w:style w:type="paragraph" w:styleId="807">
    <w:name w:val="endnote text"/>
    <w:basedOn w:val="756"/>
    <w:link w:val="808"/>
    <w:uiPriority w:val="99"/>
    <w:semiHidden/>
    <w:unhideWhenUsed/>
    <w:rPr>
      <w:sz w:val="20"/>
    </w:rPr>
  </w:style>
  <w:style w:type="character" w:styleId="808" w:customStyle="1">
    <w:name w:val="Текст концевой сноски Знак"/>
    <w:link w:val="807"/>
    <w:uiPriority w:val="99"/>
    <w:rPr>
      <w:sz w:val="20"/>
    </w:rPr>
  </w:style>
  <w:style w:type="character" w:styleId="809">
    <w:name w:val="endnote reference"/>
    <w:basedOn w:val="766"/>
    <w:uiPriority w:val="99"/>
    <w:semiHidden/>
    <w:unhideWhenUsed/>
    <w:rPr>
      <w:vertAlign w:val="superscript"/>
    </w:rPr>
  </w:style>
  <w:style w:type="paragraph" w:styleId="810">
    <w:name w:val="table of figures"/>
    <w:basedOn w:val="756"/>
    <w:next w:val="756"/>
    <w:uiPriority w:val="99"/>
    <w:unhideWhenUsed/>
  </w:style>
  <w:style w:type="character" w:styleId="811" w:customStyle="1">
    <w:name w:val="Заголовок 1 Знак"/>
    <w:link w:val="757"/>
    <w:uiPriority w:val="9"/>
    <w:rPr>
      <w:rFonts w:ascii="Arial" w:hAnsi="Arial" w:eastAsia="Arial"/>
      <w:sz w:val="40"/>
      <w:szCs w:val="40"/>
      <w:lang w:bidi="ar-SA"/>
    </w:rPr>
  </w:style>
  <w:style w:type="character" w:styleId="812" w:customStyle="1">
    <w:name w:val="Заголовок 2 Знак"/>
    <w:link w:val="758"/>
    <w:uiPriority w:val="9"/>
    <w:rPr>
      <w:rFonts w:ascii="Arial" w:hAnsi="Arial" w:eastAsia="Arial"/>
      <w:sz w:val="34"/>
      <w:lang w:bidi="ar-SA"/>
    </w:rPr>
  </w:style>
  <w:style w:type="character" w:styleId="813" w:customStyle="1">
    <w:name w:val="Заголовок 3 Знак"/>
    <w:link w:val="759"/>
    <w:uiPriority w:val="9"/>
    <w:rPr>
      <w:rFonts w:ascii="Arial" w:hAnsi="Arial" w:eastAsia="Arial"/>
      <w:sz w:val="30"/>
      <w:szCs w:val="30"/>
      <w:lang w:bidi="ar-SA"/>
    </w:rPr>
  </w:style>
  <w:style w:type="character" w:styleId="814" w:customStyle="1">
    <w:name w:val="Заголовок 4 Знак"/>
    <w:link w:val="760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815" w:customStyle="1">
    <w:name w:val="Заголовок 5 Знак"/>
    <w:link w:val="761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816" w:customStyle="1">
    <w:name w:val="Заголовок 6 Знак"/>
    <w:link w:val="762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817" w:customStyle="1">
    <w:name w:val="Заголовок 7 Знак"/>
    <w:link w:val="763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18" w:customStyle="1">
    <w:name w:val="Заголовок 8 Знак"/>
    <w:link w:val="764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819" w:customStyle="1">
    <w:name w:val="Заголовок 9 Знак"/>
    <w:link w:val="765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820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21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22">
    <w:name w:val="Title"/>
    <w:link w:val="823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823" w:customStyle="1">
    <w:name w:val="Название Знак"/>
    <w:link w:val="822"/>
    <w:uiPriority w:val="10"/>
    <w:rPr>
      <w:sz w:val="48"/>
      <w:szCs w:val="48"/>
      <w:lang w:bidi="ar-SA"/>
    </w:rPr>
  </w:style>
  <w:style w:type="paragraph" w:styleId="824">
    <w:name w:val="Subtitle"/>
    <w:link w:val="825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825" w:customStyle="1">
    <w:name w:val="Подзаголовок Знак"/>
    <w:link w:val="824"/>
    <w:uiPriority w:val="11"/>
    <w:rPr>
      <w:sz w:val="24"/>
      <w:szCs w:val="24"/>
      <w:lang w:bidi="ar-SA"/>
    </w:rPr>
  </w:style>
  <w:style w:type="paragraph" w:styleId="826">
    <w:name w:val="Quote"/>
    <w:link w:val="827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827" w:customStyle="1">
    <w:name w:val="Цитата 2 Знак"/>
    <w:link w:val="826"/>
    <w:uiPriority w:val="29"/>
    <w:rPr>
      <w:i/>
      <w:lang w:val="ru-RU" w:eastAsia="ru-RU" w:bidi="ar-SA"/>
    </w:rPr>
  </w:style>
  <w:style w:type="paragraph" w:styleId="828">
    <w:name w:val="Intense Quote"/>
    <w:link w:val="82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829" w:customStyle="1">
    <w:name w:val="Выделенная цитата Знак"/>
    <w:link w:val="828"/>
    <w:uiPriority w:val="30"/>
    <w:rPr>
      <w:i/>
      <w:shd w:val="clear" w:color="auto" w:fill="f2f2f2"/>
      <w:lang w:val="ru-RU" w:eastAsia="ru-RU" w:bidi="ar-SA"/>
    </w:rPr>
  </w:style>
  <w:style w:type="paragraph" w:styleId="830">
    <w:name w:val="Header"/>
    <w:basedOn w:val="756"/>
    <w:link w:val="831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831" w:customStyle="1">
    <w:name w:val="Верхний колонтитул Знак"/>
    <w:link w:val="830"/>
    <w:uiPriority w:val="99"/>
  </w:style>
  <w:style w:type="paragraph" w:styleId="832">
    <w:name w:val="Footer"/>
    <w:basedOn w:val="756"/>
    <w:link w:val="833"/>
    <w:uiPriority w:val="99"/>
    <w:pPr>
      <w:tabs>
        <w:tab w:val="center" w:pos="4153" w:leader="none"/>
        <w:tab w:val="right" w:pos="8306" w:leader="none"/>
      </w:tabs>
    </w:pPr>
  </w:style>
  <w:style w:type="character" w:styleId="833" w:customStyle="1">
    <w:name w:val="Нижний колонтитул Знак"/>
    <w:link w:val="832"/>
    <w:uiPriority w:val="99"/>
  </w:style>
  <w:style w:type="table" w:styleId="834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5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6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7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8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5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6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7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8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919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920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921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922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923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924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925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6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7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8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9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0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1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2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3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4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5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6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7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8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9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0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1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2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3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4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5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6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7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8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9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0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1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2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3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4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5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6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7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8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9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60">
    <w:name w:val="Hyperlink"/>
    <w:uiPriority w:val="99"/>
    <w:unhideWhenUsed/>
    <w:rPr>
      <w:color w:val="0000ff"/>
      <w:u w:val="single"/>
    </w:rPr>
  </w:style>
  <w:style w:type="paragraph" w:styleId="961">
    <w:name w:val="footnote text"/>
    <w:link w:val="962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62" w:customStyle="1">
    <w:name w:val="Текст сноски Знак"/>
    <w:link w:val="961"/>
    <w:uiPriority w:val="99"/>
    <w:semiHidden/>
    <w:rPr>
      <w:sz w:val="18"/>
      <w:lang w:bidi="ar-SA"/>
    </w:rPr>
  </w:style>
  <w:style w:type="character" w:styleId="963">
    <w:name w:val="footnote reference"/>
    <w:uiPriority w:val="99"/>
    <w:unhideWhenUsed/>
    <w:rPr>
      <w:vertAlign w:val="superscript"/>
    </w:rPr>
  </w:style>
  <w:style w:type="paragraph" w:styleId="964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65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66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67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68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69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70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71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72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73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74">
    <w:name w:val="Body Text"/>
    <w:basedOn w:val="756"/>
    <w:next w:val="756"/>
    <w:pPr>
      <w:jc w:val="both"/>
    </w:pPr>
  </w:style>
  <w:style w:type="character" w:styleId="975">
    <w:name w:val="page number"/>
    <w:basedOn w:val="766"/>
  </w:style>
  <w:style w:type="paragraph" w:styleId="976">
    <w:name w:val="Caption"/>
    <w:basedOn w:val="756"/>
    <w:next w:val="756"/>
    <w:link w:val="786"/>
    <w:uiPriority w:val="35"/>
    <w:pPr>
      <w:jc w:val="center"/>
    </w:pPr>
    <w:rPr>
      <w:b/>
      <w:sz w:val="28"/>
    </w:rPr>
  </w:style>
  <w:style w:type="paragraph" w:styleId="977">
    <w:name w:val="Body Text 2"/>
    <w:basedOn w:val="756"/>
    <w:pPr>
      <w:ind w:right="5102"/>
      <w:jc w:val="center"/>
      <w:spacing w:before="120"/>
    </w:pPr>
  </w:style>
  <w:style w:type="paragraph" w:styleId="978" w:customStyle="1">
    <w:name w:val="Обращение"/>
    <w:basedOn w:val="756"/>
    <w:next w:val="756"/>
    <w:pPr>
      <w:jc w:val="center"/>
      <w:spacing w:before="240" w:after="120"/>
    </w:pPr>
    <w:rPr>
      <w:b/>
    </w:rPr>
  </w:style>
  <w:style w:type="paragraph" w:styleId="979" w:customStyle="1">
    <w:name w:val="Адресные реквизиты"/>
    <w:basedOn w:val="974"/>
    <w:next w:val="974"/>
    <w:pPr>
      <w:jc w:val="left"/>
    </w:pPr>
    <w:rPr>
      <w:sz w:val="16"/>
    </w:rPr>
  </w:style>
  <w:style w:type="paragraph" w:styleId="980" w:customStyle="1">
    <w:name w:val="Адресат"/>
    <w:basedOn w:val="756"/>
    <w:pPr>
      <w:spacing w:before="120"/>
    </w:pPr>
    <w:rPr>
      <w:b/>
    </w:rPr>
  </w:style>
  <w:style w:type="paragraph" w:styleId="981">
    <w:name w:val="Body Text 3"/>
    <w:basedOn w:val="756"/>
    <w:pPr>
      <w:spacing w:before="120"/>
      <w:tabs>
        <w:tab w:val="left" w:pos="7371" w:leader="none"/>
      </w:tabs>
    </w:pPr>
    <w:rPr>
      <w:sz w:val="28"/>
    </w:rPr>
  </w:style>
  <w:style w:type="paragraph" w:styleId="982">
    <w:name w:val="Balloon Text"/>
    <w:basedOn w:val="756"/>
    <w:link w:val="983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83" w:customStyle="1">
    <w:name w:val="Текст выноски Знак"/>
    <w:link w:val="982"/>
    <w:uiPriority w:val="99"/>
    <w:semiHidden/>
    <w:rPr>
      <w:rFonts w:ascii="Tahoma" w:hAnsi="Tahoma" w:cs="Tahoma"/>
      <w:sz w:val="16"/>
      <w:szCs w:val="16"/>
    </w:rPr>
  </w:style>
  <w:style w:type="paragraph" w:styleId="984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85">
    <w:name w:val="Body Text Indent"/>
    <w:basedOn w:val="756"/>
    <w:link w:val="986"/>
    <w:uiPriority w:val="99"/>
    <w:semiHidden/>
    <w:unhideWhenUsed/>
    <w:pPr>
      <w:ind w:left="283"/>
      <w:spacing w:after="120"/>
    </w:pPr>
  </w:style>
  <w:style w:type="character" w:styleId="986" w:customStyle="1">
    <w:name w:val="Основной текст с отступом Знак"/>
    <w:link w:val="985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15" Type="http://schemas.openxmlformats.org/officeDocument/2006/relationships/hyperlink" Target="https://dugs.tomsk.gov.ru/" TargetMode="External"/><Relationship Id="rId16" Type="http://schemas.openxmlformats.org/officeDocument/2006/relationships/hyperlink" Target="http://www.gosuslugi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Р7-Офис/2026.2.1.2269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grebenshchikovamm@dugs.local</cp:lastModifiedBy>
  <cp:revision>8</cp:revision>
  <dcterms:created xsi:type="dcterms:W3CDTF">2026-06-23T08:22:00Z</dcterms:created>
  <dcterms:modified xsi:type="dcterms:W3CDTF">2026-08-12T07:43:12Z</dcterms:modified>
</cp:coreProperties>
</file>