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CA3299">
        <w:rPr>
          <w:rFonts w:ascii="PT Astra Serif" w:hAnsi="PT Astra Serif"/>
          <w:b/>
          <w:bCs/>
        </w:rPr>
        <w:t>5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4666BA" w:rsidRPr="00BE686B">
        <w:rPr>
          <w:rFonts w:ascii="PT Astra Serif" w:hAnsi="PT Astra Serif"/>
          <w:sz w:val="24"/>
          <w:szCs w:val="24"/>
        </w:rPr>
        <w:t>18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7925DE">
        <w:rPr>
          <w:rFonts w:ascii="PT Astra Serif" w:hAnsi="PT Astra Serif"/>
          <w:sz w:val="24"/>
          <w:szCs w:val="24"/>
        </w:rPr>
        <w:t>3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BE686B" w:rsidRPr="00BE686B">
        <w:rPr>
          <w:rFonts w:ascii="PT Astra Serif" w:hAnsi="PT Astra Serif"/>
          <w:sz w:val="24"/>
          <w:szCs w:val="24"/>
        </w:rPr>
        <w:t>ООО «</w:t>
      </w:r>
      <w:r w:rsidR="007925DE">
        <w:rPr>
          <w:rFonts w:ascii="PT Astra Serif" w:hAnsi="PT Astra Serif"/>
          <w:sz w:val="24"/>
          <w:szCs w:val="24"/>
        </w:rPr>
        <w:t>Аметист</w:t>
      </w:r>
      <w:r w:rsidR="00BE686B" w:rsidRPr="00BE686B">
        <w:rPr>
          <w:rFonts w:ascii="PT Astra Serif" w:hAnsi="PT Astra Serif"/>
          <w:sz w:val="24"/>
          <w:szCs w:val="24"/>
        </w:rPr>
        <w:t xml:space="preserve">» (ОГРН </w:t>
      </w:r>
      <w:r w:rsidR="007925DE">
        <w:rPr>
          <w:rFonts w:ascii="PT Astra Serif" w:hAnsi="PT Astra Serif"/>
          <w:sz w:val="24"/>
          <w:szCs w:val="24"/>
        </w:rPr>
        <w:t>1087017018780</w:t>
      </w:r>
      <w:r w:rsidR="00BE686B" w:rsidRPr="00BE686B">
        <w:rPr>
          <w:rFonts w:ascii="PT Astra Serif" w:hAnsi="PT Astra Serif"/>
          <w:sz w:val="24"/>
          <w:szCs w:val="24"/>
        </w:rPr>
        <w:t>)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EE53D3" w:rsidRPr="00BE686B">
        <w:rPr>
          <w:rFonts w:ascii="PT Astra Serif" w:hAnsi="PT Astra Serif"/>
          <w:sz w:val="24"/>
          <w:szCs w:val="24"/>
        </w:rPr>
        <w:t xml:space="preserve">Томская область, г. </w:t>
      </w:r>
      <w:r w:rsidR="004666BA" w:rsidRPr="00BE686B">
        <w:rPr>
          <w:rFonts w:ascii="PT Astra Serif" w:hAnsi="PT Astra Serif"/>
          <w:sz w:val="24"/>
          <w:szCs w:val="24"/>
        </w:rPr>
        <w:t>Томск</w:t>
      </w:r>
      <w:r w:rsidR="00EE53D3" w:rsidRPr="00BE686B">
        <w:rPr>
          <w:rFonts w:ascii="PT Astra Serif" w:hAnsi="PT Astra Serif"/>
          <w:sz w:val="24"/>
          <w:szCs w:val="24"/>
        </w:rPr>
        <w:t xml:space="preserve">, </w:t>
      </w:r>
      <w:r w:rsidR="004666BA" w:rsidRPr="00BE686B">
        <w:rPr>
          <w:rFonts w:ascii="PT Astra Serif" w:hAnsi="PT Astra Serif"/>
          <w:sz w:val="24"/>
          <w:szCs w:val="24"/>
        </w:rPr>
        <w:t>ул</w:t>
      </w:r>
      <w:r w:rsidR="00EE53D3" w:rsidRPr="00BE686B">
        <w:rPr>
          <w:rFonts w:ascii="PT Astra Serif" w:hAnsi="PT Astra Serif"/>
          <w:sz w:val="24"/>
          <w:szCs w:val="24"/>
        </w:rPr>
        <w:t xml:space="preserve">. </w:t>
      </w:r>
      <w:r w:rsidR="00BE686B" w:rsidRPr="00BE686B">
        <w:rPr>
          <w:rFonts w:ascii="PT Astra Serif" w:hAnsi="PT Astra Serif"/>
          <w:sz w:val="24"/>
          <w:szCs w:val="24"/>
        </w:rPr>
        <w:t>Нахимова,</w:t>
      </w:r>
      <w:r w:rsidR="00EE53D3" w:rsidRPr="00BE686B">
        <w:rPr>
          <w:rFonts w:ascii="PT Astra Serif" w:hAnsi="PT Astra Serif"/>
          <w:sz w:val="24"/>
          <w:szCs w:val="24"/>
        </w:rPr>
        <w:t xml:space="preserve"> д. </w:t>
      </w:r>
      <w:r w:rsidR="00BE686B" w:rsidRPr="00BE686B">
        <w:rPr>
          <w:rFonts w:ascii="PT Astra Serif" w:hAnsi="PT Astra Serif"/>
          <w:sz w:val="24"/>
          <w:szCs w:val="24"/>
        </w:rPr>
        <w:t>11</w:t>
      </w:r>
      <w:r w:rsidR="00EE53D3" w:rsidRPr="00BE686B">
        <w:rPr>
          <w:rFonts w:ascii="PT Astra Serif" w:hAnsi="PT Astra Serif"/>
          <w:sz w:val="24"/>
          <w:szCs w:val="24"/>
        </w:rPr>
        <w:t>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321294" w:rsidP="007925DE">
            <w:pPr>
              <w:pStyle w:val="af1"/>
            </w:pPr>
            <w:r>
              <w:t>70:</w:t>
            </w:r>
            <w:r w:rsidR="007925DE">
              <w:t>21</w:t>
            </w:r>
            <w:r>
              <w:t>:</w:t>
            </w:r>
            <w:r w:rsidR="007925DE">
              <w:t>0200025</w:t>
            </w:r>
            <w:r>
              <w:t>:</w:t>
            </w:r>
            <w:r w:rsidR="007925DE">
              <w:t>243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321294" w:rsidP="007925D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Томская область, </w:t>
            </w:r>
            <w:r w:rsidR="007925DE">
              <w:rPr>
                <w:rFonts w:ascii="PT Astra Serif" w:hAnsi="PT Astra Serif"/>
              </w:rPr>
              <w:t>г. Томск, ул. Елизаровых, д. 6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7925DE">
        <w:rPr>
          <w:rFonts w:ascii="PT Astra Serif" w:hAnsi="PT Astra Serif"/>
        </w:rPr>
        <w:t>17 170 000</w:t>
      </w:r>
      <w:r w:rsidR="00321294" w:rsidRPr="001F65B6">
        <w:rPr>
          <w:rFonts w:ascii="PT Astra Serif" w:hAnsi="PT Astra Serif"/>
        </w:rPr>
        <w:t xml:space="preserve"> (</w:t>
      </w:r>
      <w:r w:rsidR="007925DE">
        <w:rPr>
          <w:rFonts w:ascii="PT Astra Serif" w:hAnsi="PT Astra Serif"/>
        </w:rPr>
        <w:t>семнадцать</w:t>
      </w:r>
      <w:r w:rsidR="00321294" w:rsidRPr="001F65B6">
        <w:rPr>
          <w:rFonts w:ascii="PT Astra Serif" w:hAnsi="PT Astra Serif"/>
        </w:rPr>
        <w:t xml:space="preserve"> миллионов </w:t>
      </w:r>
      <w:r w:rsidR="007925DE">
        <w:rPr>
          <w:rFonts w:ascii="PT Astra Serif" w:hAnsi="PT Astra Serif"/>
        </w:rPr>
        <w:t>сто</w:t>
      </w:r>
      <w:r w:rsidR="00321294" w:rsidRPr="001F65B6">
        <w:rPr>
          <w:rFonts w:ascii="PT Astra Serif" w:hAnsi="PT Astra Serif"/>
        </w:rPr>
        <w:t xml:space="preserve"> </w:t>
      </w:r>
      <w:r w:rsidR="007925DE">
        <w:rPr>
          <w:rFonts w:ascii="PT Astra Serif" w:hAnsi="PT Astra Serif"/>
        </w:rPr>
        <w:t>семьдесят</w:t>
      </w:r>
      <w:r w:rsidR="00321294" w:rsidRPr="001F65B6">
        <w:rPr>
          <w:rFonts w:ascii="PT Astra Serif" w:hAnsi="PT Astra Serif"/>
        </w:rPr>
        <w:t xml:space="preserve"> тысяч) рублей, определенной по состоянию на </w:t>
      </w:r>
      <w:r w:rsidR="007925DE">
        <w:rPr>
          <w:rFonts w:ascii="PT Astra Serif" w:hAnsi="PT Astra Serif"/>
        </w:rPr>
        <w:t>01</w:t>
      </w:r>
      <w:r w:rsidR="00321294" w:rsidRPr="001F65B6">
        <w:rPr>
          <w:rFonts w:ascii="PT Astra Serif" w:hAnsi="PT Astra Serif"/>
        </w:rPr>
        <w:t>.</w:t>
      </w:r>
      <w:r w:rsidR="007925DE">
        <w:rPr>
          <w:rFonts w:ascii="PT Astra Serif" w:hAnsi="PT Astra Serif"/>
        </w:rPr>
        <w:t>01.2019</w:t>
      </w:r>
      <w:r w:rsidR="00321294" w:rsidRPr="001F65B6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7925DE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9B0982" w:rsidRDefault="007925DE" w:rsidP="00CC1114">
            <w:pPr>
              <w:rPr>
                <w:rFonts w:ascii="PT Astra Serif" w:hAnsi="PT Astra Serif"/>
              </w:rPr>
            </w:pPr>
            <w:r>
              <w:t>Свидетельство от 22.07.2020 № 0002510, номер в реестре 008873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7925DE" w:rsidRPr="00503C5A" w:rsidRDefault="00B301C8" w:rsidP="0095350F">
      <w:pPr>
        <w:pStyle w:val="aff0"/>
        <w:numPr>
          <w:ilvl w:val="1"/>
          <w:numId w:val="16"/>
        </w:numPr>
        <w:tabs>
          <w:tab w:val="clear" w:pos="1440"/>
          <w:tab w:val="num" w:pos="0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 w:rsidRPr="00BE686B">
        <w:rPr>
          <w:rFonts w:ascii="PT Astra Serif" w:hAnsi="PT Astra Serif"/>
        </w:rPr>
        <w:tab/>
      </w:r>
      <w:r w:rsidR="007925DE" w:rsidRPr="00503C5A">
        <w:rPr>
          <w:rFonts w:ascii="PT Astra Serif" w:hAnsi="PT Astra Serif"/>
          <w:bCs/>
          <w:sz w:val="24"/>
          <w:szCs w:val="24"/>
        </w:rPr>
        <w:t>При обосновании корректировки на торг на стр. 44-48 Отчета оценщик относит объект оценки к неактивному рынку, указывая на то, что: «</w:t>
      </w:r>
      <w:r w:rsidR="007925DE" w:rsidRPr="00503C5A">
        <w:rPr>
          <w:rFonts w:ascii="PT Astra Serif" w:hAnsi="PT Astra Serif"/>
          <w:sz w:val="24"/>
          <w:szCs w:val="24"/>
          <w:lang w:eastAsia="ru-RU"/>
        </w:rPr>
        <w:t xml:space="preserve">Под </w:t>
      </w:r>
      <w:r w:rsidR="007925DE" w:rsidRPr="00503C5A">
        <w:rPr>
          <w:rFonts w:ascii="PT Astra Serif" w:hAnsi="PT Astra Serif"/>
          <w:bCs/>
          <w:sz w:val="24"/>
          <w:szCs w:val="24"/>
          <w:lang w:eastAsia="ru-RU"/>
        </w:rPr>
        <w:t xml:space="preserve">неактивным </w:t>
      </w:r>
      <w:r w:rsidR="007925DE" w:rsidRPr="00503C5A">
        <w:rPr>
          <w:rFonts w:ascii="PT Astra Serif" w:hAnsi="PT Astra Serif"/>
          <w:sz w:val="24"/>
          <w:szCs w:val="24"/>
          <w:lang w:eastAsia="ru-RU"/>
        </w:rPr>
        <w:t xml:space="preserve">понимается рынок, характеризующийся </w:t>
      </w:r>
      <w:r w:rsidR="007925DE" w:rsidRPr="00503C5A">
        <w:rPr>
          <w:rFonts w:ascii="PT Astra Serif" w:hAnsi="PT Astra Serif"/>
          <w:bCs/>
          <w:sz w:val="24"/>
          <w:szCs w:val="24"/>
          <w:lang w:eastAsia="ru-RU"/>
        </w:rPr>
        <w:t>низким уровнем торговой активности, большим разбросом цен на подобные объекты недвижимости, ограниченным количеством продавцов и редкими сделками</w:t>
      </w:r>
      <w:r w:rsidR="007925DE" w:rsidRPr="00503C5A">
        <w:rPr>
          <w:rFonts w:ascii="PT Astra Serif" w:hAnsi="PT Astra Serif"/>
          <w:sz w:val="24"/>
          <w:szCs w:val="24"/>
          <w:lang w:eastAsia="ru-RU"/>
        </w:rPr>
        <w:t>. Неактивный рынок включает объекты, не пользующиеся спросом, прежде всего, коммерческие объекты, находящиеся в отдаленных районах и небольших населенных пунктах. Сюда могут быть отнесены крупнейшие и дорогостоящие имущественные комплексы, а также объекты недвижимости, характеризующиеся крайне ограниченным количеством потенциальных покупателей.</w:t>
      </w:r>
      <w:r w:rsidR="007925DE" w:rsidRPr="00503C5A">
        <w:rPr>
          <w:rFonts w:ascii="PT Astra Serif" w:hAnsi="PT Astra Serif"/>
          <w:bCs/>
          <w:sz w:val="24"/>
          <w:szCs w:val="24"/>
        </w:rPr>
        <w:t>». Однако объект оценки по адресу: г. Томск, ул. Елизаровых, д. 6 расположен в административном центре Кировского района, в зоне общественно-жилого назначения, в незначительном удалении от остановок общественного транспорта и маршрутного такси, имеет высокую проходимость. Наблюдается противоречие. Более того в качестве примера длительного срока экспозиции оценщик приводит одно единственное предложение о продаже объекта недвижимости на стр. 50-51 Отчета, расположенного по адресу: г. Томск, ул. Большая Подгорная, 165 / ул. Севастопольская, 124/1, который представляет собой автосервис с офисными помещениями, и помещениями гостиницы и относится к другому сегменту рынка, чем объект оценки. Считаем, что отнесение объекта оценки к неактивному рынку ошибочно. Таким образом, оценщиком нарушены требования п. 5 ФСО №3.</w:t>
      </w:r>
    </w:p>
    <w:p w:rsidR="007925DE" w:rsidRPr="00503C5A" w:rsidRDefault="007925DE" w:rsidP="007925DE">
      <w:pPr>
        <w:pStyle w:val="aff0"/>
        <w:numPr>
          <w:ilvl w:val="1"/>
          <w:numId w:val="16"/>
        </w:numPr>
        <w:tabs>
          <w:tab w:val="clear" w:pos="144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>При определении рыночной стоимости оцениваемого здания в рамках сравнительного и доходного подходов оценщик ошибочно относит оцениваемое здание по местоположению к зоне спальных районов. Здание, расположенное по адресу: ул. Красноармейская 150-152, выбранное в качестве объекта-аналога №3 при расчете рыночной стоимости объекта оценки сравнительным подходом, оценщик относит по местоположению к зоне административного центра города. Однако объект-аналог №3 достаточно приближен к объекту оценки согласно данным</w:t>
      </w:r>
      <w:r w:rsidRPr="00503C5A">
        <w:rPr>
          <w:rFonts w:ascii="PT Astra Serif" w:hAnsi="PT Astra Serif"/>
          <w:sz w:val="24"/>
          <w:szCs w:val="24"/>
        </w:rPr>
        <w:t xml:space="preserve"> </w:t>
      </w:r>
      <w:hyperlink r:id="rId7" w:history="1">
        <w:r w:rsidRPr="00503C5A">
          <w:rPr>
            <w:rStyle w:val="ab"/>
            <w:rFonts w:ascii="PT Astra Serif" w:hAnsi="PT Astra Serif"/>
            <w:bCs/>
            <w:sz w:val="24"/>
            <w:szCs w:val="24"/>
          </w:rPr>
          <w:t>https://www.tomsk.ru09.ru/map/</w:t>
        </w:r>
      </w:hyperlink>
      <w:r w:rsidRPr="00503C5A">
        <w:rPr>
          <w:rFonts w:ascii="PT Astra Serif" w:hAnsi="PT Astra Serif"/>
          <w:bCs/>
          <w:sz w:val="24"/>
          <w:szCs w:val="24"/>
        </w:rPr>
        <w:t>. Кроме того, данный объект-аналог расположен обособлено, в значительном удалении от остановок общественного транспорта, имеет неудобный подъезд, отсутствие парковки и низкую проходимость. В расчетной таблице на стр. 56 Отчета оценщик применяет корректировку на местоположение в размере (минус)8% в отношении объекта-аналога №3 необоснованно. Тем самым уменьшая стоимость объекта оценки в раках сравнительного подхода.</w:t>
      </w:r>
    </w:p>
    <w:p w:rsidR="007925DE" w:rsidRPr="00503C5A" w:rsidRDefault="007925DE" w:rsidP="007925DE">
      <w:pPr>
        <w:tabs>
          <w:tab w:val="num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bCs/>
        </w:rPr>
      </w:pPr>
      <w:r w:rsidRPr="00503C5A">
        <w:rPr>
          <w:rFonts w:ascii="PT Astra Serif" w:hAnsi="PT Astra Serif"/>
          <w:bCs/>
        </w:rPr>
        <w:t xml:space="preserve">Здание по адресу: г. Томск, ул. Шевченко, д.26, выбранное оценщиком в качестве объекта-аналога №1, расположено в промзоне объектов производственно-складского назначения, в значительном удалении от жилой и административной застройки и имеет низкую проходимость. Однако в расчетной таблице на стр. 56 Отчета корректировка на местоположение в отношении объекта-аналога № 1 применена в размере 0%, что не отражает действительную разницу в местоположении объекта оценки и объекта-аналога №1. Нарушены требования </w:t>
      </w:r>
      <w:r w:rsidRPr="00503C5A">
        <w:rPr>
          <w:rFonts w:ascii="PT Astra Serif" w:hAnsi="PT Astra Serif"/>
          <w:b/>
          <w:bCs/>
        </w:rPr>
        <w:t>п. 5 ФСО №3</w:t>
      </w:r>
      <w:r w:rsidRPr="00503C5A">
        <w:rPr>
          <w:rFonts w:ascii="PT Astra Serif" w:hAnsi="PT Astra Serif"/>
          <w:bCs/>
          <w:i/>
        </w:rPr>
        <w:t xml:space="preserve">, </w:t>
      </w:r>
      <w:r w:rsidRPr="00503C5A">
        <w:rPr>
          <w:rFonts w:ascii="PT Astra Serif" w:hAnsi="PT Astra Serif"/>
          <w:bCs/>
        </w:rPr>
        <w:t xml:space="preserve">а также </w:t>
      </w:r>
      <w:r w:rsidRPr="00503C5A">
        <w:rPr>
          <w:rFonts w:ascii="PT Astra Serif" w:hAnsi="PT Astra Serif"/>
          <w:b/>
          <w:bCs/>
        </w:rPr>
        <w:t>п. 22б ФСО №7</w:t>
      </w:r>
      <w:r w:rsidRPr="00503C5A">
        <w:rPr>
          <w:rFonts w:ascii="PT Astra Serif" w:hAnsi="PT Astra Serif"/>
          <w:bCs/>
        </w:rPr>
        <w:t>.</w:t>
      </w:r>
    </w:p>
    <w:p w:rsidR="007925DE" w:rsidRPr="00503C5A" w:rsidRDefault="007925DE" w:rsidP="007925DE">
      <w:pPr>
        <w:numPr>
          <w:ilvl w:val="1"/>
          <w:numId w:val="16"/>
        </w:numPr>
        <w:tabs>
          <w:tab w:val="clear" w:pos="1440"/>
          <w:tab w:val="left" w:pos="851"/>
          <w:tab w:val="left" w:pos="993"/>
          <w:tab w:val="num" w:pos="1134"/>
        </w:tabs>
        <w:ind w:left="0" w:firstLine="1080"/>
        <w:jc w:val="both"/>
        <w:rPr>
          <w:rFonts w:ascii="PT Astra Serif" w:hAnsi="PT Astra Serif"/>
          <w:bCs/>
          <w:i/>
        </w:rPr>
      </w:pPr>
      <w:r w:rsidRPr="00503C5A">
        <w:rPr>
          <w:rFonts w:ascii="PT Astra Serif" w:hAnsi="PT Astra Serif"/>
          <w:bCs/>
        </w:rPr>
        <w:lastRenderedPageBreak/>
        <w:t>Объект-аналог №4, примененный оценщиком в сравнительном подходе представляет собой действующий бизнес, как это отражено в скриншоте объявления из электронной базы недвижимости «</w:t>
      </w:r>
      <w:r w:rsidRPr="00503C5A">
        <w:rPr>
          <w:rFonts w:ascii="PT Astra Serif" w:hAnsi="PT Astra Serif"/>
          <w:bCs/>
          <w:lang w:val="en-US"/>
        </w:rPr>
        <w:t>ORIS</w:t>
      </w:r>
      <w:r w:rsidRPr="00503C5A">
        <w:rPr>
          <w:rFonts w:ascii="PT Astra Serif" w:hAnsi="PT Astra Serif"/>
          <w:bCs/>
        </w:rPr>
        <w:t xml:space="preserve">» в приложении к отчету на стр. 75. Более того, точный адрес данного объекта-аналога в тексте объявления отсутствует. Однако в расчетной таблице на стр. 56 оценщик применяет корректировки в отношении объекта-аналога №1 на красную линию в размере 0% и на местоположение в размере (минус)8%. Считаем, что данный объект-аналог выбран Оценщиком ошибочно, что нарушает требования </w:t>
      </w:r>
      <w:r w:rsidRPr="00503C5A">
        <w:rPr>
          <w:rFonts w:ascii="PT Astra Serif" w:hAnsi="PT Astra Serif"/>
          <w:b/>
          <w:bCs/>
        </w:rPr>
        <w:t>п. 5ФСО №3 в части</w:t>
      </w:r>
      <w:r w:rsidRPr="00503C5A">
        <w:rPr>
          <w:rFonts w:ascii="PT Astra Serif" w:hAnsi="PT Astra Serif"/>
          <w:bCs/>
        </w:rPr>
        <w:t>.</w:t>
      </w:r>
    </w:p>
    <w:p w:rsidR="007925DE" w:rsidRPr="00503C5A" w:rsidRDefault="007925DE" w:rsidP="007925DE">
      <w:pPr>
        <w:pStyle w:val="aff0"/>
        <w:numPr>
          <w:ilvl w:val="1"/>
          <w:numId w:val="16"/>
        </w:numPr>
        <w:tabs>
          <w:tab w:val="clear" w:pos="1440"/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Объект оценки представляет собой </w:t>
      </w:r>
      <w:r w:rsidR="0095350F" w:rsidRPr="00503C5A">
        <w:rPr>
          <w:rFonts w:ascii="PT Astra Serif" w:hAnsi="PT Astra Serif"/>
          <w:bCs/>
          <w:sz w:val="24"/>
          <w:szCs w:val="24"/>
        </w:rPr>
        <w:t>отдельно стоящее</w:t>
      </w:r>
      <w:r w:rsidRPr="00503C5A">
        <w:rPr>
          <w:rFonts w:ascii="PT Astra Serif" w:hAnsi="PT Astra Serif"/>
          <w:bCs/>
          <w:sz w:val="24"/>
          <w:szCs w:val="24"/>
        </w:rPr>
        <w:t xml:space="preserve"> здание площадью 875,30 кв.м. Все объекты-аналоги, примененные для расчета размере арендной ставки в рамках доходного подхода, являются встроенными помещениями с диапазоном площади от 30-85 кв.м, в том числе объекты-аналоги №1 и 3 расположены на седьмом и третьем этаже, соответственно. Корректировки на тип объекта и на этаж Оценщиком в расчетах не применялись. Считаем, что данные объекты несопоставимы с оцениваемым зданием по значительному количеству ценообразующих факторов и применены оценщиком в качестве объектов-аналогов некорректно. Нарушены требования </w:t>
      </w:r>
      <w:r w:rsidRPr="00503C5A">
        <w:rPr>
          <w:rFonts w:ascii="PT Astra Serif" w:hAnsi="PT Astra Serif"/>
          <w:b/>
          <w:bCs/>
          <w:sz w:val="24"/>
          <w:szCs w:val="24"/>
        </w:rPr>
        <w:t>п. 22б ФСО №7</w:t>
      </w:r>
      <w:r w:rsidRPr="00503C5A">
        <w:rPr>
          <w:rFonts w:ascii="PT Astra Serif" w:hAnsi="PT Astra Serif"/>
          <w:bCs/>
          <w:sz w:val="24"/>
          <w:szCs w:val="24"/>
        </w:rPr>
        <w:t>.</w:t>
      </w:r>
    </w:p>
    <w:p w:rsidR="00ED0044" w:rsidRPr="00BE686B" w:rsidRDefault="00ED0044" w:rsidP="007925DE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7925DE" w:rsidRPr="00503C5A" w:rsidRDefault="007925DE" w:rsidP="007925DE">
      <w:pPr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«Аметист» об оспаривании кадастровой стоимости объекта недвижимости с кадастровыми номером 70:21:0200025:243, расположенного по адресу: Российская Федерация, Томская область, г. Томск, ул. Елизаровых, д. 6.</w:t>
      </w:r>
    </w:p>
    <w:p w:rsid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94A" w:rsidRDefault="0009794A">
      <w:r>
        <w:separator/>
      </w:r>
    </w:p>
  </w:endnote>
  <w:endnote w:type="continuationSeparator" w:id="0">
    <w:p w:rsidR="0009794A" w:rsidRDefault="00097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94A" w:rsidRDefault="0009794A">
      <w:r>
        <w:separator/>
      </w:r>
    </w:p>
  </w:footnote>
  <w:footnote w:type="continuationSeparator" w:id="0">
    <w:p w:rsidR="0009794A" w:rsidRDefault="00097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94A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2D60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5E6E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50F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omsk.ru09.ru/ma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12</TotalTime>
  <Pages>3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</cp:revision>
  <cp:lastPrinted>2021-12-20T02:01:00Z</cp:lastPrinted>
  <dcterms:created xsi:type="dcterms:W3CDTF">2021-12-19T03:30:00Z</dcterms:created>
  <dcterms:modified xsi:type="dcterms:W3CDTF">2021-12-21T07:01:00Z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