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C17E5" w:rsidRDefault="00DC17E5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</w:t>
      </w:r>
      <w:r w:rsidR="004C261A">
        <w:rPr>
          <w:rFonts w:ascii="PT Astra Serif" w:hAnsi="PT Astra Serif"/>
          <w:b/>
          <w:bCs/>
        </w:rPr>
        <w:t>3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BE3992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4C261A">
        <w:rPr>
          <w:rFonts w:ascii="PT Astra Serif" w:hAnsi="PT Astra Serif"/>
        </w:rPr>
        <w:t>2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DC17E5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DC17E5">
        <w:rPr>
          <w:rFonts w:ascii="PT Astra Serif" w:hAnsi="PT Astra Serif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4C261A" w:rsidP="001E7CF1">
            <w:pPr>
              <w:pStyle w:val="af1"/>
            </w:pPr>
            <w:r>
              <w:t>70:14:0303001:329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4C261A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муниципальный район, Богашевское сельское поселение, д. Аксеново, ул. Центральная, дом 11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4C261A">
        <w:rPr>
          <w:rFonts w:ascii="PT Astra Serif" w:hAnsi="PT Astra Serif"/>
        </w:rPr>
        <w:t xml:space="preserve">1 726 000 (один миллион семьсот двадцать шесть тысяч) рублей, определенной по состоянию на 07.10.2021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C261A" w:rsidRPr="00BE686B" w:rsidTr="00EF3D77">
        <w:tc>
          <w:tcPr>
            <w:tcW w:w="2981" w:type="dxa"/>
            <w:shd w:val="clear" w:color="auto" w:fill="auto"/>
          </w:tcPr>
          <w:p w:rsidR="004C261A" w:rsidRPr="00A05E35" w:rsidRDefault="004C261A" w:rsidP="004C261A">
            <w:r w:rsidRPr="00A05E35"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4C261A" w:rsidRPr="00A05E35" w:rsidRDefault="004C261A" w:rsidP="004C261A">
            <w:r w:rsidRPr="00A05E35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4C261A" w:rsidRDefault="004C261A" w:rsidP="004C261A">
            <w:r w:rsidRPr="00A05E35">
              <w:t>Свидетельство от 22.07.2020, дата включения в реестр 18.03.2008, регистрационный номер 004019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4C261A" w:rsidRDefault="004C261A" w:rsidP="004C261A">
      <w:pPr>
        <w:pStyle w:val="aff0"/>
        <w:numPr>
          <w:ilvl w:val="0"/>
          <w:numId w:val="26"/>
        </w:numPr>
        <w:tabs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При определении рыночной стоимости земельного участка под оцениваемым объектом и жилого дома в рамках сравнительного подхода в расчетных таблицах на стр. 31 и 38 Отчета оценщиком применены объекты-аналоги в количестве четырех объектов для расчета стоимости земельного участка и трех для расчета стоимости жилого дома. Однако, обоснование своего выбора в пользу данных объектов-аналогов оценщик в отчете не делает. Также в тексте отчета отсутствует выборка с указанием диапазона удельной цены предложения объектов в сегменте рынка, сопоставимом с оцениваемым жилым домом. Таким образом, в Отчете нарушены требования </w:t>
      </w:r>
      <w:r>
        <w:rPr>
          <w:rFonts w:ascii="PT Astra Serif" w:hAnsi="PT Astra Serif"/>
          <w:b/>
          <w:bCs/>
          <w:sz w:val="24"/>
          <w:szCs w:val="24"/>
        </w:rPr>
        <w:t xml:space="preserve">п. 5 ФСО №3 </w:t>
      </w:r>
      <w:r>
        <w:rPr>
          <w:rFonts w:ascii="PT Astra Serif" w:hAnsi="PT Astra Serif"/>
          <w:bCs/>
          <w:sz w:val="24"/>
          <w:szCs w:val="24"/>
        </w:rPr>
        <w:t xml:space="preserve">и </w:t>
      </w:r>
      <w:r>
        <w:rPr>
          <w:rFonts w:ascii="PT Astra Serif" w:hAnsi="PT Astra Serif"/>
          <w:b/>
          <w:bCs/>
          <w:sz w:val="24"/>
          <w:szCs w:val="24"/>
        </w:rPr>
        <w:t>п. 10 в и д ФСО №7.</w:t>
      </w:r>
    </w:p>
    <w:p w:rsidR="004C261A" w:rsidRDefault="004C261A" w:rsidP="004C261A">
      <w:pPr>
        <w:pStyle w:val="aff0"/>
        <w:numPr>
          <w:ilvl w:val="0"/>
          <w:numId w:val="26"/>
        </w:numPr>
        <w:tabs>
          <w:tab w:val="clear" w:pos="1440"/>
          <w:tab w:val="num" w:pos="0"/>
          <w:tab w:val="num" w:pos="1134"/>
          <w:tab w:val="num" w:pos="25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 расчетных таблицах на стр. 33 и 38 Отчета при определении рыночной стоимости земельного участка и жилого дома оценщик применяет корректировку на торг в размере (минус)16,6 % и (минус)13,7 % соответственно, что соответствует среднему значению скидки на торг для неактивного рынка. В тексте отчета обоснование неактивности рынка жилых домов отсутствует. Что нарушает требования </w:t>
      </w:r>
      <w:r>
        <w:rPr>
          <w:rFonts w:ascii="PT Astra Serif" w:hAnsi="PT Astra Serif"/>
          <w:b/>
          <w:bCs/>
          <w:sz w:val="24"/>
          <w:szCs w:val="24"/>
        </w:rPr>
        <w:t xml:space="preserve">п. 5 ФСО №3. </w:t>
      </w:r>
    </w:p>
    <w:p w:rsidR="004C261A" w:rsidRDefault="004C261A" w:rsidP="004C261A">
      <w:pPr>
        <w:pStyle w:val="aff0"/>
        <w:numPr>
          <w:ilvl w:val="0"/>
          <w:numId w:val="26"/>
        </w:numPr>
        <w:tabs>
          <w:tab w:val="clear" w:pos="1440"/>
          <w:tab w:val="num" w:pos="0"/>
          <w:tab w:val="num" w:pos="1134"/>
          <w:tab w:val="num" w:pos="25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Объект оценки представляет собой жилой дом, нуждающийся в косметическом ремонте. Жилой дом, расположенный по адресу: Томская область, Томский район, п. Петухово, ул. Школьная, выбранный в качестве объекта-аналога №2 для расчета рыночной стоимости объекта оценки является объектом незавершенным строительством, не имеет оконных проемов и отопления, согласно данным отображенным в приложении к отчету на стр. 70-71. Однако, в расчетной таблице на стр. 38-39 корректировка на физическое состояние и состояние внутренней отделки применена оценщиком в размере 1, что не отражает разницу состояния объекта оценки и объекта-аналога №2. Таким образом, нарушены требования </w:t>
      </w:r>
      <w:r>
        <w:rPr>
          <w:rFonts w:ascii="PT Astra Serif" w:hAnsi="PT Astra Serif"/>
          <w:b/>
          <w:bCs/>
          <w:sz w:val="24"/>
          <w:szCs w:val="24"/>
        </w:rPr>
        <w:t xml:space="preserve">п. 5ФСО №3 </w:t>
      </w:r>
      <w:r>
        <w:rPr>
          <w:rFonts w:ascii="PT Astra Serif" w:hAnsi="PT Astra Serif"/>
          <w:bCs/>
          <w:sz w:val="24"/>
          <w:szCs w:val="24"/>
        </w:rPr>
        <w:t xml:space="preserve">и </w:t>
      </w:r>
      <w:r>
        <w:rPr>
          <w:rFonts w:ascii="PT Astra Serif" w:hAnsi="PT Astra Serif"/>
          <w:b/>
          <w:bCs/>
          <w:sz w:val="24"/>
          <w:szCs w:val="24"/>
        </w:rPr>
        <w:t>п. 22б ФСО №7.</w:t>
      </w:r>
    </w:p>
    <w:p w:rsidR="004C261A" w:rsidRDefault="004C261A" w:rsidP="004C261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C261A" w:rsidRDefault="004C261A" w:rsidP="004C261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4C261A" w:rsidRDefault="004C261A" w:rsidP="004C261A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C17E5">
        <w:rPr>
          <w:rFonts w:ascii="PT Astra Serif" w:hAnsi="PT Astra Serif"/>
        </w:rPr>
        <w:t xml:space="preserve">ХХХ </w:t>
      </w:r>
      <w:bookmarkStart w:id="0" w:name="_GoBack"/>
      <w:bookmarkEnd w:id="0"/>
      <w:r>
        <w:rPr>
          <w:rFonts w:ascii="PT Astra Serif" w:hAnsi="PT Astra Serif"/>
        </w:rPr>
        <w:t>об оспаривании кадастровой стоимости объекта недвижимости с кадастровым номером 70:14:0303001:329, расположенного по адресу: Российская Федерация, Томская область, Томский муниципальный район, Богашевское сельское поселение, д. Аксеново, ул. Центральная, дом 11.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lastRenderedPageBreak/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6D4" w:rsidRDefault="00FF26D4">
      <w:r>
        <w:separator/>
      </w:r>
    </w:p>
  </w:endnote>
  <w:endnote w:type="continuationSeparator" w:id="0">
    <w:p w:rsidR="00FF26D4" w:rsidRDefault="00FF2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6D4" w:rsidRDefault="00FF26D4">
      <w:r>
        <w:separator/>
      </w:r>
    </w:p>
  </w:footnote>
  <w:footnote w:type="continuationSeparator" w:id="0">
    <w:p w:rsidR="00FF26D4" w:rsidRDefault="00FF2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144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11"/>
  </w:num>
  <w:num w:numId="4">
    <w:abstractNumId w:val="6"/>
  </w:num>
  <w:num w:numId="5">
    <w:abstractNumId w:val="7"/>
  </w:num>
  <w:num w:numId="6">
    <w:abstractNumId w:val="20"/>
  </w:num>
  <w:num w:numId="7">
    <w:abstractNumId w:val="9"/>
  </w:num>
  <w:num w:numId="8">
    <w:abstractNumId w:val="15"/>
  </w:num>
  <w:num w:numId="9">
    <w:abstractNumId w:val="14"/>
  </w:num>
  <w:num w:numId="10">
    <w:abstractNumId w:val="17"/>
  </w:num>
  <w:num w:numId="11">
    <w:abstractNumId w:val="10"/>
  </w:num>
  <w:num w:numId="12">
    <w:abstractNumId w:val="23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1"/>
  </w:num>
  <w:num w:numId="15">
    <w:abstractNumId w:val="2"/>
  </w:num>
  <w:num w:numId="16">
    <w:abstractNumId w:val="8"/>
  </w:num>
  <w:num w:numId="17">
    <w:abstractNumId w:val="22"/>
  </w:num>
  <w:num w:numId="18">
    <w:abstractNumId w:val="18"/>
  </w:num>
  <w:num w:numId="19">
    <w:abstractNumId w:val="4"/>
  </w:num>
  <w:num w:numId="20">
    <w:abstractNumId w:val="24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4D6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D54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17E5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26D4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F89A0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0E759-DF5A-4C8A-8A1B-D81E64678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88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24</cp:revision>
  <cp:lastPrinted>2021-12-20T02:24:00Z</cp:lastPrinted>
  <dcterms:created xsi:type="dcterms:W3CDTF">2021-12-19T03:30:00Z</dcterms:created>
  <dcterms:modified xsi:type="dcterms:W3CDTF">2021-12-30T01:10:00Z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