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616331" w:rsidRDefault="0061633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3A1DF2">
        <w:rPr>
          <w:rFonts w:ascii="PT Astra Serif" w:hAnsi="PT Astra Serif"/>
          <w:b/>
          <w:bCs/>
        </w:rPr>
        <w:t>8</w:t>
      </w:r>
      <w:r w:rsidR="008C5790">
        <w:rPr>
          <w:rFonts w:ascii="PT Astra Serif" w:hAnsi="PT Astra Serif"/>
          <w:b/>
          <w:bCs/>
        </w:rPr>
        <w:t>5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BE3992">
      <w:pPr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BE3992">
        <w:rPr>
          <w:rFonts w:ascii="PT Astra Serif" w:hAnsi="PT Astra Serif"/>
        </w:rPr>
        <w:t>0</w:t>
      </w:r>
      <w:r w:rsidR="00A5674E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BE3992">
        <w:rPr>
          <w:rFonts w:ascii="PT Astra Serif" w:hAnsi="PT Astra Serif"/>
        </w:rPr>
        <w:t>3</w:t>
      </w:r>
      <w:r w:rsidR="008C5790">
        <w:rPr>
          <w:rFonts w:ascii="PT Astra Serif" w:hAnsi="PT Astra Serif"/>
        </w:rPr>
        <w:t>4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616331">
        <w:rPr>
          <w:rFonts w:ascii="PT Astra Serif" w:hAnsi="PT Astra Serif"/>
        </w:rPr>
        <w:t>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616331">
        <w:rPr>
          <w:rFonts w:ascii="PT Astra Serif" w:hAnsi="PT Astra Serif"/>
        </w:rPr>
        <w:t>ХХХ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8C5790" w:rsidP="001E7CF1">
            <w:pPr>
              <w:pStyle w:val="af1"/>
            </w:pPr>
            <w:r>
              <w:t>70:21:0200002:2371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8C5790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Гагарина, д. 41, пом. 1007-1009.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8C5790">
        <w:rPr>
          <w:rFonts w:ascii="PT Astra Serif" w:hAnsi="PT Astra Serif"/>
        </w:rPr>
        <w:t xml:space="preserve">1 159 000 (один миллион сто пятьдесят девять тысяч) рублей,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C261A" w:rsidRPr="00BE686B" w:rsidTr="00EF3D77">
        <w:tc>
          <w:tcPr>
            <w:tcW w:w="2981" w:type="dxa"/>
            <w:shd w:val="clear" w:color="auto" w:fill="auto"/>
          </w:tcPr>
          <w:p w:rsidR="004C261A" w:rsidRPr="00A05E35" w:rsidRDefault="004C261A" w:rsidP="004C261A">
            <w:r w:rsidRPr="00A05E35"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4C261A" w:rsidRPr="00A05E35" w:rsidRDefault="004C261A" w:rsidP="004C261A">
            <w:r w:rsidRPr="00A05E35"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4C261A" w:rsidRDefault="004C261A" w:rsidP="004C261A">
            <w:r w:rsidRPr="00A05E35">
              <w:t>Свидетельство от 22.07.2020, дата включения в реестр 18.03.2008, регистрационный номер 004019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C5790" w:rsidRDefault="008C5790" w:rsidP="008C5790">
      <w:pPr>
        <w:pStyle w:val="aff0"/>
        <w:numPr>
          <w:ilvl w:val="0"/>
          <w:numId w:val="27"/>
        </w:numPr>
        <w:tabs>
          <w:tab w:val="left" w:pos="709"/>
          <w:tab w:val="left" w:pos="993"/>
          <w:tab w:val="num" w:pos="1134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Согласно данным Градостроительного атласа города Томска объект оценки по адресу: г. Томск, ул. Гагарина, д. 41 расположен в территориальной зоне исторического центра города. Объект оценки находится в районе с развитой инфраструктурой, в окружении большого количества торгово-административных и деловых центров, где в шаговой доступности от объекта оценки есть остановки общественного и маршрутного транспорта.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 табл. 25 на стр. 43-44 Отчёта, при расчете рыночной стоимости объекта оценки в рамках сравнительного подхода, Оценщиком подобраны следующие объекты-аналоги: 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- объект-аналог №1, расположенный по адресу: г. Томск, Усова, ул. 27а;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- объект-аналог №2, расположенный по адресу:</w:t>
      </w:r>
      <w:r>
        <w:rPr>
          <w:rFonts w:ascii="PT Astra Serif" w:hAnsi="PT Astra Serif"/>
          <w:sz w:val="24"/>
          <w:szCs w:val="24"/>
        </w:rPr>
        <w:t xml:space="preserve"> г. Томск, Савиных, ул. 1а.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ab/>
        <w:t>В табл. 28 на стр. 51-52 Отчёта, при расчёте размера арендной платы в рамках доходного подхода, Оценщиком подобран следующий объект-аналог: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объект-аналог №1, расположенный по адресу: г. Томск, Сакко, пер. 2.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ab/>
        <w:t xml:space="preserve">Указанные объекты-аналоги расположены в жилых кварталах высотной застройки, внутриквартально, в окружении многоэтажных жилых домов. Однако Оценщик применяет корректировку на их «местонахождение» в размере 0%, что не отражает действительной разницы в местоположении объекта оценки и объектов-аналогов и влияет на занижение стоимости объекта оценки. Местоположение объектов-аналогов не является аналогичным по отношению к особенностям местоположения объекта оценки. 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ab/>
        <w:t xml:space="preserve">Таким образом, оценщиком нарушены требования </w:t>
      </w:r>
      <w:r>
        <w:rPr>
          <w:rFonts w:ascii="PT Astra Serif" w:hAnsi="PT Astra Serif"/>
          <w:b/>
          <w:bCs/>
          <w:sz w:val="24"/>
          <w:szCs w:val="24"/>
        </w:rPr>
        <w:t>п. 5 ФСО №3</w:t>
      </w:r>
      <w:r>
        <w:rPr>
          <w:rFonts w:ascii="PT Astra Serif" w:hAnsi="PT Astra Serif"/>
          <w:bCs/>
          <w:sz w:val="24"/>
          <w:szCs w:val="24"/>
        </w:rPr>
        <w:t>.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ab/>
        <w:t>2. Согласно фотоматериалам на стр. 11-14 и описанию в табл. 5 на стр. 10 Отчёта, объект оценки используется по функциональному назначению как офисное и имеет отделку, состояние которой характеризуется Оценщиком как среднее.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ab/>
        <w:t>При определении рыночной стоимости объекта оценки в рамках сравнительного подхода в табл. 25 на стр. 43 Отчета Оценщик описывает техническое состояние объекта-аналога №3 как «отделка типа «люкс»» и применяет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 xml:space="preserve">понижающую корректировку на «состояние внутренней отделки» в размере - (минус) 19%. Однако в объявлении о продаже объекта-аналога в приложении на стр. 81 Отчёта отсутствует подтверждающая информация о техническом состоянии, включая состояние внутренней отделки помещений. 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ab/>
        <w:t>При расчёте размера арендной платы объекта оценки в рамках доходного подхода в табл. 28 на стр. 51 Отчета Оценщик описывает техническое состояние объекта-аналога №3 как «отделка типа «люкс»»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>и применяет понижающую корректировку на «состояние внутренней отделки» в размере - (минус) 18%. Однако в объявлении аренды объекта-аналога в приложении на стр. 84 Отчёта отсутствует подтверждающая информация о техническом состоянии, включая состояние внутренней отделки помещений.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lastRenderedPageBreak/>
        <w:tab/>
        <w:t xml:space="preserve">По результатам анализа информации о выше представленных объектах-аналогах не было обнаружено фотографий и описания состояния их отделки и общего технического состояния помещений.  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ab/>
        <w:t>Таким образом, корректировка приведена необоснованно (безосновательно). Тем самым, Оценщиком нарушен</w:t>
      </w:r>
      <w:r>
        <w:rPr>
          <w:rFonts w:ascii="PT Astra Serif" w:hAnsi="PT Astra Serif"/>
          <w:bCs/>
          <w:i/>
          <w:sz w:val="24"/>
          <w:szCs w:val="24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</w:rPr>
        <w:t>п. 22в  ФСО №7</w:t>
      </w:r>
      <w:r>
        <w:rPr>
          <w:rFonts w:ascii="PT Astra Serif" w:hAnsi="PT Astra Serif"/>
          <w:bCs/>
          <w:sz w:val="24"/>
          <w:szCs w:val="24"/>
        </w:rPr>
        <w:t xml:space="preserve"> и </w:t>
      </w:r>
      <w:r>
        <w:rPr>
          <w:rFonts w:ascii="PT Astra Serif" w:hAnsi="PT Astra Serif"/>
          <w:b/>
          <w:bCs/>
          <w:sz w:val="24"/>
          <w:szCs w:val="24"/>
        </w:rPr>
        <w:t>п. 5 ФСО №3.</w:t>
      </w:r>
    </w:p>
    <w:p w:rsidR="008C5790" w:rsidRDefault="008C5790" w:rsidP="008C5790">
      <w:pPr>
        <w:pStyle w:val="aff0"/>
        <w:tabs>
          <w:tab w:val="left" w:pos="709"/>
        </w:tabs>
        <w:spacing w:after="0" w:line="240" w:lineRule="auto"/>
        <w:ind w:left="0"/>
        <w:jc w:val="both"/>
        <w:rPr>
          <w:rFonts w:ascii="PT Astra Serif" w:hAnsi="PT Astra Serif"/>
          <w:bCs/>
          <w:i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ab/>
        <w:t>3.</w:t>
      </w:r>
      <w:r>
        <w:rPr>
          <w:rFonts w:ascii="PT Astra Serif" w:hAnsi="PT Astra Serif"/>
          <w:bCs/>
          <w:sz w:val="24"/>
          <w:szCs w:val="24"/>
        </w:rPr>
        <w:t xml:space="preserve"> При расчёте размера арендной платы объекта оценки в рамках доходного подхода в табл. 28 на стр. 52 Отчета Оценщик прописывает, что коммунальные услуги входят в стоимость всех объектов-аналогов. </w:t>
      </w:r>
    </w:p>
    <w:p w:rsidR="008C5790" w:rsidRDefault="008C5790" w:rsidP="008C5790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При этом Оценщиком применена корректировка в отношении всех объектов-аналогов на «оплату коммунальных услуг» в размере – (минус) 8%.</w:t>
      </w:r>
    </w:p>
    <w:p w:rsidR="008C5790" w:rsidRDefault="008C5790" w:rsidP="008C5790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Однако в объявлениях об аренде объектов-аналогов №2 и №3 (см. стр. 83 и 84 Отчёта) не представлено подтверждающей информации по включению или невключению стоимости коммунальных услуг в размер арендной платы. Таким образом, данная корректировка приведена необоснованно.</w:t>
      </w:r>
    </w:p>
    <w:p w:rsidR="008C5790" w:rsidRDefault="008C5790" w:rsidP="008C5790">
      <w:pPr>
        <w:ind w:firstLine="708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Также в табл. 31 на стр. 60-61 Отчёта при расчете стоимости объекта оценки в рамках доходного подхода Оценщик из действительного валового дохода отнимает операционные расходы, в которые также включены коммунальные платежи (согласно источнику </w:t>
      </w:r>
      <w:hyperlink r:id="rId8" w:history="1">
        <w:r>
          <w:rPr>
            <w:rStyle w:val="ab"/>
            <w:rFonts w:ascii="PT Astra Serif" w:hAnsi="PT Astra Serif"/>
            <w:bCs/>
          </w:rPr>
          <w:t>http://dom-khv.ucoz.ru/index/dokhodnyj_podkhod_ocenki_nedvizhimosti/0-474</w:t>
        </w:r>
      </w:hyperlink>
      <w:r>
        <w:rPr>
          <w:rFonts w:ascii="PT Astra Serif" w:hAnsi="PT Astra Serif"/>
          <w:bCs/>
        </w:rPr>
        <w:t>). Таким образом, Оценщик дважды вычитает стоимость коммунальных услуг из итоговой стоимости объекта оценки, полученной в рамках доходного подхода. Что в свою очередь занижает стоимость объекта оценки в рамках доходного подхода.</w:t>
      </w:r>
    </w:p>
    <w:p w:rsidR="008C5790" w:rsidRDefault="008C5790" w:rsidP="008C5790">
      <w:pPr>
        <w:pStyle w:val="aff0"/>
        <w:tabs>
          <w:tab w:val="num" w:pos="1134"/>
          <w:tab w:val="num" w:pos="25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Тем самым, Оценщик нарушил</w:t>
      </w:r>
      <w:r>
        <w:rPr>
          <w:rFonts w:ascii="PT Astra Serif" w:hAnsi="PT Astra Serif"/>
          <w:bCs/>
          <w:i/>
          <w:sz w:val="24"/>
          <w:szCs w:val="24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</w:rPr>
        <w:t>п. 22в  ФСО №7</w:t>
      </w:r>
      <w:r>
        <w:rPr>
          <w:rFonts w:ascii="PT Astra Serif" w:hAnsi="PT Astra Serif"/>
          <w:bCs/>
          <w:sz w:val="24"/>
          <w:szCs w:val="24"/>
        </w:rPr>
        <w:t xml:space="preserve"> и</w:t>
      </w:r>
      <w:r>
        <w:rPr>
          <w:rFonts w:ascii="PT Astra Serif" w:hAnsi="PT Astra Serif"/>
          <w:bCs/>
          <w:i/>
          <w:sz w:val="24"/>
          <w:szCs w:val="24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 xml:space="preserve">требования </w:t>
      </w:r>
      <w:r>
        <w:rPr>
          <w:rFonts w:ascii="PT Astra Serif" w:hAnsi="PT Astra Serif"/>
          <w:b/>
          <w:bCs/>
          <w:sz w:val="24"/>
          <w:szCs w:val="24"/>
        </w:rPr>
        <w:t>п. 5 ФСО №3.</w:t>
      </w:r>
    </w:p>
    <w:p w:rsidR="008C5790" w:rsidRDefault="008C5790" w:rsidP="008C5790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8C5790" w:rsidRDefault="008C5790" w:rsidP="008C5790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8C5790" w:rsidRDefault="008C5790" w:rsidP="008C579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616331">
        <w:rPr>
          <w:rFonts w:ascii="PT Astra Serif" w:hAnsi="PT Astra Serif"/>
        </w:rPr>
        <w:t>ХХХ</w:t>
      </w:r>
      <w:bookmarkStart w:id="0" w:name="_GoBack"/>
      <w:bookmarkEnd w:id="0"/>
      <w:r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70:21:0200002:2371, расположенного по адресу: Томская область, г. Томск, ул. Гагарина, д. 41, пом. 1007-1009.</w:t>
      </w:r>
    </w:p>
    <w:p w:rsidR="008C5790" w:rsidRDefault="008C5790" w:rsidP="008C5790">
      <w:pPr>
        <w:pStyle w:val="Default"/>
        <w:ind w:firstLine="567"/>
        <w:jc w:val="both"/>
        <w:rPr>
          <w:rFonts w:ascii="PT Astra Serif" w:hAnsi="PT Astra Serif"/>
        </w:rPr>
      </w:pPr>
    </w:p>
    <w:p w:rsidR="003A1DF2" w:rsidRPr="00465ECF" w:rsidRDefault="003A1DF2" w:rsidP="003A1DF2">
      <w:pPr>
        <w:pStyle w:val="Default"/>
        <w:ind w:firstLine="708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9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288" w:rsidRDefault="00D65288">
      <w:r>
        <w:separator/>
      </w:r>
    </w:p>
  </w:endnote>
  <w:endnote w:type="continuationSeparator" w:id="0">
    <w:p w:rsidR="00D65288" w:rsidRDefault="00D65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288" w:rsidRDefault="00D65288">
      <w:r>
        <w:separator/>
      </w:r>
    </w:p>
  </w:footnote>
  <w:footnote w:type="continuationSeparator" w:id="0">
    <w:p w:rsidR="00D65288" w:rsidRDefault="00D65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5F1535F"/>
    <w:multiLevelType w:val="hybridMultilevel"/>
    <w:tmpl w:val="DF8A353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6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24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2"/>
  </w:num>
  <w:num w:numId="16">
    <w:abstractNumId w:val="8"/>
  </w:num>
  <w:num w:numId="17">
    <w:abstractNumId w:val="23"/>
  </w:num>
  <w:num w:numId="18">
    <w:abstractNumId w:val="19"/>
  </w:num>
  <w:num w:numId="19">
    <w:abstractNumId w:val="4"/>
  </w:num>
  <w:num w:numId="20">
    <w:abstractNumId w:val="25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6331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790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288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C55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BAE456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m-khv.ucoz.ru/index/dokhodnyj_podkhod_ocenki_nedvizhimosti/0-47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C9A86-E398-4EDF-B86F-BF0018267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109</TotalTime>
  <Pages>3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25</cp:revision>
  <cp:lastPrinted>2021-12-20T02:24:00Z</cp:lastPrinted>
  <dcterms:created xsi:type="dcterms:W3CDTF">2021-12-19T03:30:00Z</dcterms:created>
  <dcterms:modified xsi:type="dcterms:W3CDTF">2021-12-30T01:11:00Z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