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3579EC" w:rsidTr="00987D5C">
        <w:trPr>
          <w:trHeight w:val="2430"/>
        </w:trPr>
        <w:tc>
          <w:tcPr>
            <w:tcW w:w="3828" w:type="dxa"/>
          </w:tcPr>
          <w:p w:rsidR="00D700DD" w:rsidRPr="003579EC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3579EC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3579EC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3579EC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3579EC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3579EC" w:rsidRDefault="00C539FE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РЕШЕНИЕ</w:t>
      </w:r>
      <w:r w:rsidR="00694D7C" w:rsidRPr="003579EC">
        <w:rPr>
          <w:rFonts w:ascii="PT Astra Serif" w:hAnsi="PT Astra Serif"/>
          <w:b/>
          <w:bCs/>
        </w:rPr>
        <w:t xml:space="preserve"> № </w:t>
      </w:r>
      <w:r w:rsidR="00C7498A" w:rsidRPr="003579EC">
        <w:rPr>
          <w:rFonts w:ascii="PT Astra Serif" w:hAnsi="PT Astra Serif"/>
          <w:b/>
          <w:bCs/>
        </w:rPr>
        <w:t>4</w:t>
      </w:r>
      <w:r w:rsidR="0062793C">
        <w:rPr>
          <w:rFonts w:ascii="PT Astra Serif" w:hAnsi="PT Astra Serif"/>
          <w:b/>
          <w:bCs/>
        </w:rPr>
        <w:t>9</w:t>
      </w:r>
    </w:p>
    <w:p w:rsidR="00C539FE" w:rsidRPr="003579EC" w:rsidRDefault="00D23FC4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к</w:t>
      </w:r>
      <w:r w:rsidR="00C539FE" w:rsidRPr="003579EC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3579EC" w:rsidRDefault="00C539FE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3579EC">
        <w:rPr>
          <w:rFonts w:ascii="PT Astra Serif" w:hAnsi="PT Astra Serif"/>
          <w:b/>
          <w:bCs/>
        </w:rPr>
        <w:t xml:space="preserve">на территории </w:t>
      </w:r>
      <w:r w:rsidR="00D23FC4" w:rsidRPr="003579EC">
        <w:rPr>
          <w:rFonts w:ascii="PT Astra Serif" w:hAnsi="PT Astra Serif"/>
          <w:b/>
        </w:rPr>
        <w:t>Т</w:t>
      </w:r>
      <w:r w:rsidR="00EB7466" w:rsidRPr="003579EC">
        <w:rPr>
          <w:rFonts w:ascii="PT Astra Serif" w:hAnsi="PT Astra Serif"/>
          <w:b/>
        </w:rPr>
        <w:t>омской области</w:t>
      </w:r>
    </w:p>
    <w:p w:rsidR="003D0096" w:rsidRPr="003579EC" w:rsidRDefault="00EB7466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>(далее</w:t>
      </w:r>
      <w:r w:rsidR="00C539FE" w:rsidRPr="003579EC">
        <w:rPr>
          <w:rFonts w:ascii="PT Astra Serif" w:hAnsi="PT Astra Serif"/>
          <w:b/>
          <w:bCs/>
        </w:rPr>
        <w:t xml:space="preserve"> – комиссия)</w:t>
      </w:r>
    </w:p>
    <w:p w:rsidR="000E15E1" w:rsidRPr="003579EC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3579EC" w:rsidRDefault="003579EC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11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марта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="00D23FC4" w:rsidRPr="003579EC">
              <w:rPr>
                <w:rFonts w:ascii="PT Astra Serif" w:hAnsi="PT Astra Serif"/>
              </w:rPr>
              <w:t>202</w:t>
            </w:r>
            <w:r w:rsidR="00544B67" w:rsidRPr="003579EC">
              <w:rPr>
                <w:rFonts w:ascii="PT Astra Serif" w:hAnsi="PT Astra Serif"/>
              </w:rPr>
              <w:t>2</w:t>
            </w:r>
            <w:r w:rsidR="00D23FC4" w:rsidRPr="003579EC">
              <w:rPr>
                <w:rFonts w:ascii="PT Astra Serif" w:hAnsi="PT Astra Serif"/>
              </w:rPr>
              <w:t xml:space="preserve"> года</w:t>
            </w:r>
          </w:p>
          <w:p w:rsidR="00D23FC4" w:rsidRPr="003579EC" w:rsidRDefault="00A9501A" w:rsidP="0029561D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</w:t>
            </w:r>
            <w:r w:rsidR="0029561D" w:rsidRPr="003579EC">
              <w:rPr>
                <w:rFonts w:ascii="PT Astra Serif" w:hAnsi="PT Astra Serif"/>
              </w:rPr>
              <w:t>4</w:t>
            </w:r>
            <w:r w:rsidR="00D23FC4" w:rsidRPr="003579EC">
              <w:rPr>
                <w:rFonts w:ascii="PT Astra Serif" w:hAnsi="PT Astra Serif"/>
              </w:rPr>
              <w:t>.</w:t>
            </w:r>
            <w:r w:rsidR="00085263" w:rsidRPr="003579EC">
              <w:rPr>
                <w:rFonts w:ascii="PT Astra Serif" w:hAnsi="PT Astra Serif"/>
              </w:rPr>
              <w:t>0</w:t>
            </w:r>
            <w:r w:rsidR="001C2112" w:rsidRPr="003579EC">
              <w:rPr>
                <w:rFonts w:ascii="PT Astra Serif" w:hAnsi="PT Astra Serif"/>
              </w:rPr>
              <w:t>0</w:t>
            </w:r>
            <w:r w:rsidR="00D23FC4" w:rsidRPr="003579EC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Место проведения: г. Томск, пр.</w:t>
            </w:r>
            <w:r w:rsidR="00E70CA3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Кирова,</w:t>
            </w:r>
            <w:r w:rsidR="00C44A0E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д.20,</w:t>
            </w:r>
          </w:p>
        </w:tc>
      </w:tr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3579EC" w:rsidRDefault="00315D3E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3579EC" w:rsidRDefault="005B19A8" w:rsidP="00696A5F">
            <w:pPr>
              <w:pStyle w:val="af1"/>
            </w:pPr>
            <w:r w:rsidRPr="003579EC">
              <w:t>Комиссия в составе:</w:t>
            </w:r>
          </w:p>
          <w:p w:rsidR="00C94156" w:rsidRPr="003579EC" w:rsidRDefault="00C94156" w:rsidP="00696A5F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3579EC" w:rsidRDefault="00677332" w:rsidP="00677332">
            <w:pPr>
              <w:pStyle w:val="af1"/>
            </w:pPr>
            <w:r w:rsidRPr="003579EC">
              <w:t>Присутствующие на заседании иные лица:</w:t>
            </w:r>
          </w:p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ведущий оценщик</w:t>
            </w:r>
            <w:r w:rsidR="00677332" w:rsidRPr="003579EC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3579EC" w:rsidRDefault="00677332" w:rsidP="00677332">
            <w:pPr>
              <w:pStyle w:val="af1"/>
              <w:jc w:val="both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Куприянец Ирина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представитель муниципального образования г. Томск</w:t>
            </w: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директор ООО «Бюро оценки «ТОККО»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</w:tr>
    </w:tbl>
    <w:p w:rsidR="00677332" w:rsidRPr="003579EC" w:rsidRDefault="00736B16" w:rsidP="00C7498A">
      <w:pPr>
        <w:ind w:firstLine="709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</w:t>
      </w:r>
      <w:r w:rsidR="00AF3363" w:rsidRPr="003579EC">
        <w:rPr>
          <w:rFonts w:ascii="PT Astra Serif" w:hAnsi="PT Astra Serif"/>
        </w:rPr>
        <w:t>а заседании</w:t>
      </w:r>
      <w:r w:rsidR="007D0CE5" w:rsidRPr="003579EC">
        <w:rPr>
          <w:rFonts w:ascii="PT Astra Serif" w:hAnsi="PT Astra Serif"/>
        </w:rPr>
        <w:t xml:space="preserve"> комиссии</w:t>
      </w:r>
      <w:r w:rsidR="007F6C3C" w:rsidRPr="003579EC">
        <w:rPr>
          <w:rFonts w:ascii="PT Astra Serif" w:hAnsi="PT Astra Serif"/>
        </w:rPr>
        <w:t xml:space="preserve"> </w:t>
      </w:r>
      <w:r w:rsidR="00AF3363" w:rsidRPr="003579EC">
        <w:rPr>
          <w:rFonts w:ascii="PT Astra Serif" w:hAnsi="PT Astra Serif"/>
        </w:rPr>
        <w:t>рассмотре</w:t>
      </w:r>
      <w:r w:rsidR="007D0CE5" w:rsidRPr="003579EC">
        <w:rPr>
          <w:rFonts w:ascii="PT Astra Serif" w:hAnsi="PT Astra Serif"/>
        </w:rPr>
        <w:t>но</w:t>
      </w:r>
      <w:r w:rsidR="007F6C3C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3579EC">
        <w:rPr>
          <w:rFonts w:ascii="PT Astra Serif" w:hAnsi="PT Astra Serif"/>
        </w:rPr>
        <w:t xml:space="preserve"> </w:t>
      </w:r>
      <w:r w:rsidR="003579EC" w:rsidRPr="003579EC">
        <w:rPr>
          <w:rFonts w:ascii="PT Astra Serif" w:hAnsi="PT Astra Serif"/>
        </w:rPr>
        <w:t>1</w:t>
      </w:r>
      <w:r w:rsidR="00B13A58" w:rsidRPr="003579EC">
        <w:rPr>
          <w:rFonts w:ascii="PT Astra Serif" w:hAnsi="PT Astra Serif"/>
        </w:rPr>
        <w:t>4</w:t>
      </w:r>
      <w:r w:rsidR="00BE6A23" w:rsidRPr="003579EC">
        <w:rPr>
          <w:rFonts w:ascii="PT Astra Serif" w:hAnsi="PT Astra Serif"/>
        </w:rPr>
        <w:t>.</w:t>
      </w:r>
      <w:r w:rsidR="006C29A0" w:rsidRPr="003579EC">
        <w:rPr>
          <w:rFonts w:ascii="PT Astra Serif" w:hAnsi="PT Astra Serif"/>
        </w:rPr>
        <w:t>0</w:t>
      </w:r>
      <w:r w:rsidR="00677332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.202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 xml:space="preserve"> вх. № 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/</w:t>
      </w:r>
      <w:r w:rsidR="00B13A58" w:rsidRPr="003579EC">
        <w:rPr>
          <w:rFonts w:ascii="PT Astra Serif" w:hAnsi="PT Astra Serif"/>
        </w:rPr>
        <w:t>2</w:t>
      </w:r>
      <w:r w:rsidR="009B6AAB">
        <w:rPr>
          <w:rFonts w:ascii="PT Astra Serif" w:hAnsi="PT Astra Serif"/>
        </w:rPr>
        <w:t>5</w:t>
      </w:r>
      <w:r w:rsidR="00A3592B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от</w:t>
      </w:r>
      <w:r w:rsidR="005324E8" w:rsidRPr="003579EC">
        <w:rPr>
          <w:rFonts w:ascii="PT Astra Serif" w:hAnsi="PT Astra Serif"/>
        </w:rPr>
        <w:t xml:space="preserve"> </w:t>
      </w:r>
      <w:r w:rsidR="00414157">
        <w:rPr>
          <w:rFonts w:ascii="PT Astra Serif" w:hAnsi="PT Astra Serif"/>
        </w:rPr>
        <w:t>ХХХ</w:t>
      </w:r>
      <w:r w:rsidR="00D71FC7" w:rsidRPr="003579EC">
        <w:rPr>
          <w:rFonts w:ascii="PT Astra Serif" w:hAnsi="PT Astra Serif"/>
        </w:rPr>
        <w:t>,</w:t>
      </w:r>
      <w:r w:rsidR="00933872" w:rsidRPr="003579EC">
        <w:rPr>
          <w:rFonts w:ascii="PT Astra Serif" w:hAnsi="PT Astra Serif"/>
        </w:rPr>
        <w:t xml:space="preserve"> </w:t>
      </w:r>
      <w:r w:rsidR="00A77FCC" w:rsidRPr="003579EC">
        <w:rPr>
          <w:rFonts w:ascii="PT Astra Serif" w:hAnsi="PT Astra Serif"/>
          <w:shd w:val="clear" w:color="auto" w:fill="FFFFFF"/>
        </w:rPr>
        <w:t>а</w:t>
      </w:r>
      <w:r w:rsidR="00A77FCC" w:rsidRPr="003579EC">
        <w:rPr>
          <w:rFonts w:ascii="PT Astra Serif" w:hAnsi="PT Astra Serif"/>
        </w:rPr>
        <w:t>дрес (место нахождения):</w:t>
      </w:r>
      <w:r w:rsidR="00E70CA3" w:rsidRPr="003579EC">
        <w:rPr>
          <w:rFonts w:ascii="PT Astra Serif" w:hAnsi="PT Astra Serif"/>
        </w:rPr>
        <w:t xml:space="preserve"> </w:t>
      </w:r>
      <w:r w:rsidR="00414157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3579EC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Местонахождение и адрес (при наличии) объекта недвижимости</w:t>
            </w:r>
          </w:p>
        </w:tc>
      </w:tr>
      <w:tr w:rsidR="006A77CE" w:rsidRPr="003579EC" w:rsidTr="00142A47">
        <w:tc>
          <w:tcPr>
            <w:tcW w:w="4558" w:type="dxa"/>
            <w:shd w:val="clear" w:color="auto" w:fill="auto"/>
          </w:tcPr>
          <w:p w:rsidR="006A77CE" w:rsidRPr="003579EC" w:rsidRDefault="009D3B85" w:rsidP="002D0EC0">
            <w:pPr>
              <w:pStyle w:val="af1"/>
            </w:pPr>
            <w:r w:rsidRPr="00677095">
              <w:lastRenderedPageBreak/>
              <w:t>70:21:0100015:600</w:t>
            </w:r>
            <w:r w:rsidR="0062793C">
              <w:t>3</w:t>
            </w:r>
          </w:p>
        </w:tc>
        <w:tc>
          <w:tcPr>
            <w:tcW w:w="4560" w:type="dxa"/>
            <w:shd w:val="clear" w:color="auto" w:fill="auto"/>
          </w:tcPr>
          <w:p w:rsidR="006A77CE" w:rsidRPr="003579EC" w:rsidRDefault="009D3B85" w:rsidP="002D0EC0">
            <w:pPr>
              <w:jc w:val="both"/>
              <w:rPr>
                <w:rFonts w:ascii="PT Astra Serif" w:hAnsi="PT Astra Serif"/>
              </w:rPr>
            </w:pPr>
            <w:r w:rsidRPr="00677095">
              <w:rPr>
                <w:rFonts w:ascii="PT Astra Serif" w:hAnsi="PT Astra Serif"/>
              </w:rPr>
              <w:t xml:space="preserve">Томская область, г. Томск, ул. Ленская, д. 31, пом. </w:t>
            </w:r>
            <w:r w:rsidR="0062793C" w:rsidRPr="00677095">
              <w:rPr>
                <w:rFonts w:ascii="PT Astra Serif" w:hAnsi="PT Astra Serif"/>
              </w:rPr>
              <w:t>21, 22</w:t>
            </w:r>
          </w:p>
        </w:tc>
      </w:tr>
    </w:tbl>
    <w:p w:rsidR="00F565B9" w:rsidRPr="003579EC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62793C" w:rsidRPr="00677095">
        <w:rPr>
          <w:rFonts w:ascii="PT Astra Serif" w:hAnsi="PT Astra Serif"/>
        </w:rPr>
        <w:t>3 555 698 (три миллиона пятьсот пятьдесят пять тысяч шестьсот девяносто восемь)</w:t>
      </w:r>
      <w:r w:rsidR="006E0095" w:rsidRPr="00677095">
        <w:rPr>
          <w:rFonts w:ascii="PT Astra Serif" w:hAnsi="PT Astra Serif"/>
        </w:rPr>
        <w:t xml:space="preserve"> рублей, определенной по состоянию на 01.01.2019 </w:t>
      </w:r>
      <w:r w:rsidRPr="003579EC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3579EC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3579EC" w:rsidTr="00EF3D77">
        <w:tc>
          <w:tcPr>
            <w:tcW w:w="2981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E0095" w:rsidRPr="003579EC" w:rsidTr="00EF3D77">
        <w:tc>
          <w:tcPr>
            <w:tcW w:w="2981" w:type="dxa"/>
            <w:shd w:val="clear" w:color="auto" w:fill="auto"/>
          </w:tcPr>
          <w:p w:rsidR="006E0095" w:rsidRPr="009B0982" w:rsidRDefault="006E0095" w:rsidP="006E00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6E0095" w:rsidRPr="009B0982" w:rsidRDefault="006E0095" w:rsidP="006E00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6E0095" w:rsidRPr="00130C98" w:rsidRDefault="006E0095" w:rsidP="006E0095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t>регистрационный № 389, дата включения в реестр 03.06.2007</w:t>
            </w:r>
          </w:p>
        </w:tc>
      </w:tr>
    </w:tbl>
    <w:p w:rsidR="003579EC" w:rsidRDefault="003579EC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3579EC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В результате рассмотрения заявления установлено:</w:t>
      </w:r>
    </w:p>
    <w:p w:rsidR="009B6AAB" w:rsidRPr="00677095" w:rsidRDefault="009B6AAB" w:rsidP="009B6AAB">
      <w:pPr>
        <w:numPr>
          <w:ilvl w:val="1"/>
          <w:numId w:val="16"/>
        </w:numPr>
        <w:tabs>
          <w:tab w:val="clear" w:pos="1636"/>
          <w:tab w:val="left" w:pos="851"/>
          <w:tab w:val="left" w:pos="1134"/>
        </w:tabs>
        <w:ind w:left="0" w:firstLine="567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Оцениваемые помещения расположены на втором этаже шестнадцатиэтажного многоквартирного жилого дома по адресу: г. Томск, ул. Ленская, д. 31. Согласно данным градостроительного атласа (источник:</w:t>
      </w:r>
      <w:r w:rsidRPr="00677095">
        <w:rPr>
          <w:rFonts w:ascii="PT Astra Serif" w:hAnsi="PT Astra Serif"/>
        </w:rPr>
        <w:t xml:space="preserve"> </w:t>
      </w:r>
      <w:r w:rsidRPr="00677095">
        <w:rPr>
          <w:rFonts w:ascii="PT Astra Serif" w:hAnsi="PT Astra Serif"/>
          <w:bCs/>
        </w:rPr>
        <w:t xml:space="preserve">https://map.admtomsk.ru) месторасположение объектов оценки соответствует зоне застройки многоэтажными жилыми домами. Объекты оценки находятся в шаговой доступности от пр. Мира, где расположено большое количество объектов торгово-офисного и административного назначения, где также есть остановки общественного и маршрутного транспорта. Также, согласно информации в табл. 9.5. на стр. 49, Отчёта Оценщик относит оцениваемые нежилые помещения к офисному сегменту рынка коммерческой недвижимости. </w:t>
      </w:r>
    </w:p>
    <w:p w:rsidR="009B6AAB" w:rsidRPr="00677095" w:rsidRDefault="009B6AAB" w:rsidP="009B6AAB">
      <w:pPr>
        <w:tabs>
          <w:tab w:val="left" w:pos="851"/>
        </w:tabs>
        <w:ind w:firstLine="567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При расчете стоимости объекта недвижимости Оценщику необходимо анализировать сегмент рынка, к которому относится объект оценки, а также анализировать ценообразующие факторы, включая и месторасположение. Подбор объектов-аналогов необходимо осуществлять с точки зрения их сопоставимости с объектом оценки по ценообразующим факторам.</w:t>
      </w:r>
    </w:p>
    <w:p w:rsidR="009B6AAB" w:rsidRPr="00677095" w:rsidRDefault="009B6AAB" w:rsidP="009B6AAB">
      <w:pPr>
        <w:tabs>
          <w:tab w:val="left" w:pos="851"/>
        </w:tabs>
        <w:ind w:firstLine="567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В рамках сравнительного подхода, при определении стоимости оцениваемых помещений Оценщиком в табл. 9.4. на стр. 36 Отчёта были подобраны следующие объекты-аналоги:</w:t>
      </w:r>
    </w:p>
    <w:p w:rsidR="009B6AAB" w:rsidRPr="00677095" w:rsidRDefault="009B6AAB" w:rsidP="009B6AAB">
      <w:pPr>
        <w:numPr>
          <w:ilvl w:val="0"/>
          <w:numId w:val="30"/>
        </w:numPr>
        <w:tabs>
          <w:tab w:val="left" w:pos="851"/>
        </w:tabs>
        <w:ind w:left="0" w:firstLine="426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объект-аналог №1 расположен в значительном удалении от объекта оценки, в другом районе города, по адресу: г. Томск, ул. Шевченко, д. 49б, находится на территории промзоны, в значительном удалении от остановок общественного транспорта, имеет низкую проходимость. Однако Оценщик ошибочно относит его по местоположению к зоне спальных районов высотной застройки.</w:t>
      </w:r>
    </w:p>
    <w:p w:rsidR="009B6AAB" w:rsidRPr="00677095" w:rsidRDefault="009B6AAB" w:rsidP="009B6AAB">
      <w:pPr>
        <w:numPr>
          <w:ilvl w:val="0"/>
          <w:numId w:val="30"/>
        </w:numPr>
        <w:tabs>
          <w:tab w:val="left" w:pos="851"/>
        </w:tabs>
        <w:ind w:left="0" w:firstLine="426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объект-аналог №2, расположен в значительном удалении от объекта оценки, в другом районе города, по адресу: г. Томск, ул. Сибирская, д. 102. Согласно объявлению о его продаже на стр. 121 Отчёта он продаётся как действующий бизнес (гостиничный комплекс). В качестве объекта-аналога для оцениваемых помещений применяться не может, так как он относиться к другому сегменту рынка – действующий бизнес;</w:t>
      </w:r>
    </w:p>
    <w:p w:rsidR="009B6AAB" w:rsidRPr="00677095" w:rsidRDefault="009B6AAB" w:rsidP="009B6AAB">
      <w:pPr>
        <w:numPr>
          <w:ilvl w:val="0"/>
          <w:numId w:val="30"/>
        </w:numPr>
        <w:tabs>
          <w:tab w:val="left" w:pos="851"/>
        </w:tabs>
        <w:ind w:left="0" w:firstLine="426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 xml:space="preserve">объект-аналог №3, расположен также в значительном удалении от объекта оценки, в другом районе города, по адресу: г. Томск, ул. Бакунина, д. 14, в зоне исторической застройки, внутриквартально, в окружении среднеэтажной и малоэтажной жилой застройки, в значительном удалении от остановок общественного транспорта, имеет, соответственно, низкую проходимость. </w:t>
      </w:r>
    </w:p>
    <w:p w:rsidR="009B6AAB" w:rsidRPr="00677095" w:rsidRDefault="009B6AAB" w:rsidP="009B6AAB">
      <w:pPr>
        <w:ind w:firstLine="567"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Стоимости подобранных объектов-аналогов изначально имеют очень низкое значение. Вместе с тем, размер корректировок на «местоположение» и «красную линию», примененные к стоимостям представленных выше объектов-аналогов в расчетных таблицах на стр. 54-61 Отчета обоснованы Оценщиком некорректно и не отражают действительную разницу в местоположении объектов оценки и объектов-аналогов №1 и №3.</w:t>
      </w:r>
    </w:p>
    <w:p w:rsidR="009B6AAB" w:rsidRPr="00677095" w:rsidRDefault="009B6AAB" w:rsidP="009B6AAB">
      <w:pPr>
        <w:ind w:firstLine="567"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color w:val="000000"/>
          <w:shd w:val="clear" w:color="auto" w:fill="FFFFFF"/>
        </w:rPr>
        <w:t xml:space="preserve">Таким образом, </w:t>
      </w:r>
      <w:r w:rsidRPr="00677095">
        <w:rPr>
          <w:rFonts w:ascii="PT Astra Serif" w:hAnsi="PT Astra Serif"/>
          <w:bCs/>
          <w:color w:val="000000"/>
          <w:shd w:val="clear" w:color="auto" w:fill="FFFFFF"/>
        </w:rPr>
        <w:t>нарушены требования</w:t>
      </w:r>
      <w:r w:rsidRPr="00677095">
        <w:rPr>
          <w:rFonts w:ascii="PT Astra Serif" w:hAnsi="PT Astra Serif"/>
          <w:bCs/>
          <w:i/>
          <w:color w:val="000000"/>
          <w:shd w:val="clear" w:color="auto" w:fill="FFFFFF"/>
        </w:rPr>
        <w:t xml:space="preserve"> </w:t>
      </w:r>
      <w:r w:rsidRPr="00677095">
        <w:rPr>
          <w:rFonts w:ascii="PT Astra Serif" w:hAnsi="PT Astra Serif"/>
          <w:b/>
          <w:bCs/>
        </w:rPr>
        <w:t>п. 22б ФСО №7</w:t>
      </w:r>
      <w:r w:rsidRPr="00677095">
        <w:rPr>
          <w:rFonts w:ascii="PT Astra Serif" w:hAnsi="PT Astra Serif"/>
          <w:bCs/>
          <w:i/>
        </w:rPr>
        <w:t xml:space="preserve"> </w:t>
      </w:r>
      <w:r w:rsidRPr="00677095">
        <w:rPr>
          <w:rFonts w:ascii="PT Astra Serif" w:hAnsi="PT Astra Serif"/>
          <w:bCs/>
        </w:rPr>
        <w:t>и</w:t>
      </w:r>
      <w:r w:rsidRPr="00677095">
        <w:rPr>
          <w:rFonts w:ascii="PT Astra Serif" w:hAnsi="PT Astra Serif"/>
          <w:bCs/>
          <w:i/>
        </w:rPr>
        <w:t xml:space="preserve"> </w:t>
      </w:r>
      <w:r w:rsidRPr="00677095">
        <w:rPr>
          <w:rFonts w:ascii="PT Astra Serif" w:hAnsi="PT Astra Serif"/>
          <w:b/>
          <w:bCs/>
        </w:rPr>
        <w:t>п. 5 ФСО №3</w:t>
      </w:r>
      <w:r w:rsidRPr="00677095">
        <w:rPr>
          <w:rFonts w:ascii="PT Astra Serif" w:hAnsi="PT Astra Serif"/>
          <w:bCs/>
        </w:rPr>
        <w:t>.</w:t>
      </w:r>
    </w:p>
    <w:p w:rsidR="009B6AAB" w:rsidRPr="00677095" w:rsidRDefault="009B6AAB" w:rsidP="009B6AAB">
      <w:pPr>
        <w:pStyle w:val="aff0"/>
        <w:numPr>
          <w:ilvl w:val="1"/>
          <w:numId w:val="16"/>
        </w:numPr>
        <w:tabs>
          <w:tab w:val="clear" w:pos="1636"/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677095">
        <w:rPr>
          <w:rFonts w:ascii="PT Astra Serif" w:hAnsi="PT Astra Serif"/>
          <w:bCs/>
          <w:sz w:val="24"/>
          <w:szCs w:val="24"/>
        </w:rPr>
        <w:lastRenderedPageBreak/>
        <w:t xml:space="preserve">Объекты оценки являются встроенными помещениями в многоквартирном жилом монолитном доме. Согласно характеристикам объектов оценки в табл. 7.3. на стр. 16 Отчёта и фотографиям на стр. 117-119 Отчёта, помещения находятся в так называемой «черновой отделке» и не эксплуатируются. Согласно табл. 7.5. на стр. 17 Отчета, при описании здания, в котором расположены объекты оценки, Оценщик характеризует состояние фасада и техническое состояние здания как удовлетворительное. Однако в расчетной таблице на стр. 54-61 Оценщик характеризует объекты оценки как требующие капитального ремонта и находящиеся в неудовлетворительном физическом состоянии. Вместе с тем, многоквартирный жилой дом имеет год постройки 2012. Фотоматериалы внешнего вида здания, входа в здание и входа в помещения в Отчете не представлены. Техническая документация, подтверждающая мнение Оценщика в Отчете также отсутствует. </w:t>
      </w:r>
    </w:p>
    <w:p w:rsidR="009B6AAB" w:rsidRPr="00677095" w:rsidRDefault="009B6AAB" w:rsidP="009B6AAB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677095">
        <w:rPr>
          <w:rFonts w:ascii="PT Astra Serif" w:hAnsi="PT Astra Serif"/>
          <w:bCs/>
          <w:sz w:val="24"/>
          <w:szCs w:val="24"/>
        </w:rPr>
        <w:t xml:space="preserve">По мнению членов комиссии здание находится в хорошем техническом состоянии, капитальный ремонт зданию не требуется. А вот оцениваемым помещениям требуется проведение полного комплекса отделочно-ремонтных работ, а также монтажа внутренних санитарно-технических систем. </w:t>
      </w:r>
    </w:p>
    <w:p w:rsidR="009B6AAB" w:rsidRPr="00677095" w:rsidRDefault="009B6AAB" w:rsidP="009B6AAB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677095">
        <w:rPr>
          <w:rFonts w:ascii="PT Astra Serif" w:hAnsi="PT Astra Serif"/>
          <w:bCs/>
          <w:sz w:val="24"/>
          <w:szCs w:val="24"/>
        </w:rPr>
        <w:t xml:space="preserve">В рамках сравнительного подхода, в табл. 9.4. на стр. 36 Отчёта </w:t>
      </w:r>
      <w:r w:rsidRPr="00677095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Оценщик описывает состояние объектов-аналогов №1 и №3 как «требуются отделочные работы, капитальный ремонт», а физическое состояние зданий как «неудовлетворительное». То есть данные объекты-аналоги </w:t>
      </w:r>
      <w:r w:rsidRPr="00677095">
        <w:rPr>
          <w:rFonts w:ascii="PT Astra Serif" w:hAnsi="PT Astra Serif"/>
          <w:bCs/>
          <w:sz w:val="24"/>
          <w:szCs w:val="24"/>
        </w:rPr>
        <w:t xml:space="preserve">находятся в более худшем общем физическом состоянии по сравнению с объектами оценки. Таким образом, исходя из ошибочно определенного состояния объектов оценки и здания, в котором они расположены, Оценщик делает ошибочные корректировки по отношению к стоимости объектов-аналогов №1 и №3. Оценщик смешивает понятия капитального ремонта здания, необходимого в связи с неудовлетворительным техническим состоянием его конструктивных элементов, с внутренними отделочными ремонтными работами помещений, что приводит к существенному занижению стоимости оцениваемых помещений. </w:t>
      </w:r>
    </w:p>
    <w:p w:rsidR="009B6AAB" w:rsidRPr="00677095" w:rsidRDefault="009B6AAB" w:rsidP="009B6AAB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 xml:space="preserve">Нарушены требования </w:t>
      </w:r>
      <w:r w:rsidRPr="00677095">
        <w:rPr>
          <w:rFonts w:ascii="PT Astra Serif" w:hAnsi="PT Astra Serif"/>
          <w:b/>
          <w:bCs/>
        </w:rPr>
        <w:t xml:space="preserve">п. 22в ФСО№7 </w:t>
      </w:r>
      <w:r w:rsidRPr="00677095">
        <w:rPr>
          <w:rFonts w:ascii="PT Astra Serif" w:hAnsi="PT Astra Serif"/>
          <w:bCs/>
        </w:rPr>
        <w:t xml:space="preserve">и </w:t>
      </w:r>
      <w:r w:rsidRPr="00677095">
        <w:rPr>
          <w:rFonts w:ascii="PT Astra Serif" w:hAnsi="PT Astra Serif"/>
          <w:b/>
          <w:bCs/>
        </w:rPr>
        <w:t>п. 5 ФСО №3</w:t>
      </w:r>
      <w:r w:rsidRPr="00677095">
        <w:rPr>
          <w:rFonts w:ascii="PT Astra Serif" w:hAnsi="PT Astra Serif"/>
          <w:bCs/>
        </w:rPr>
        <w:t>.</w:t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ab/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         Комиссией принято РЕШЕНИЕ: </w:t>
      </w:r>
    </w:p>
    <w:p w:rsidR="003579EC" w:rsidRPr="003579EC" w:rsidRDefault="009B6AAB" w:rsidP="0062793C">
      <w:pPr>
        <w:ind w:firstLine="567"/>
        <w:jc w:val="both"/>
        <w:rPr>
          <w:rFonts w:ascii="PT Astra Serif" w:hAnsi="PT Astra Serif"/>
        </w:rPr>
      </w:pPr>
      <w:r w:rsidRPr="00677095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414157">
        <w:rPr>
          <w:rFonts w:ascii="PT Astra Serif" w:hAnsi="PT Astra Serif"/>
        </w:rPr>
        <w:t>ХХХ</w:t>
      </w:r>
      <w:bookmarkStart w:id="0" w:name="_GoBack"/>
      <w:bookmarkEnd w:id="0"/>
      <w:r w:rsidRPr="00677095">
        <w:rPr>
          <w:rFonts w:ascii="PT Astra Serif" w:hAnsi="PT Astra Serif"/>
        </w:rPr>
        <w:t xml:space="preserve"> об оспаривании кадастровой стоимости объект</w:t>
      </w:r>
      <w:r>
        <w:rPr>
          <w:rFonts w:ascii="PT Astra Serif" w:hAnsi="PT Astra Serif"/>
        </w:rPr>
        <w:t>а</w:t>
      </w:r>
      <w:r w:rsidRPr="00677095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677095">
        <w:rPr>
          <w:rFonts w:ascii="PT Astra Serif" w:hAnsi="PT Astra Serif"/>
        </w:rPr>
        <w:t xml:space="preserve"> </w:t>
      </w:r>
      <w:r w:rsidR="0062793C" w:rsidRPr="00677095">
        <w:rPr>
          <w:rFonts w:ascii="PT Astra Serif" w:hAnsi="PT Astra Serif"/>
        </w:rPr>
        <w:t>70:21:0100015:6003, расположенного по адресу: Томская область, г. Томск, ул. Ленская, д. 31, пом. 21, 22.</w:t>
      </w:r>
    </w:p>
    <w:p w:rsidR="00142A47" w:rsidRPr="003579EC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Результаты голосования за принятое решение: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Малиновская Елена Юрьевна – за;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Лиманская Наталия Викторовна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Мельникова Екатерина Феликсовна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Чадаева Инна Валерьевна – за.</w:t>
      </w:r>
    </w:p>
    <w:p w:rsidR="003A1DF2" w:rsidRPr="003579EC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Решение принято единогласно.</w:t>
      </w:r>
    </w:p>
    <w:p w:rsidR="004E3F7D" w:rsidRPr="003579EC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Решений об отводах не принималось.</w:t>
      </w:r>
    </w:p>
    <w:p w:rsidR="008749C1" w:rsidRPr="003579EC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3579EC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3579EC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3579EC">
        <w:rPr>
          <w:rFonts w:ascii="PT Astra Serif" w:hAnsi="PT Astra Serif"/>
          <w:bCs/>
        </w:rPr>
        <w:t xml:space="preserve">                        </w:t>
      </w:r>
      <w:r w:rsidRPr="003579EC">
        <w:rPr>
          <w:rFonts w:ascii="PT Astra Serif" w:hAnsi="PT Astra Serif"/>
          <w:bCs/>
        </w:rPr>
        <w:t xml:space="preserve">  </w:t>
      </w:r>
      <w:r w:rsidR="00CC1114" w:rsidRPr="003579EC">
        <w:rPr>
          <w:rFonts w:ascii="PT Astra Serif" w:hAnsi="PT Astra Serif"/>
          <w:bCs/>
        </w:rPr>
        <w:t xml:space="preserve">           </w:t>
      </w:r>
      <w:r w:rsidR="00544B67" w:rsidRPr="003579EC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3579EC" w:rsidTr="00544B67">
        <w:tc>
          <w:tcPr>
            <w:tcW w:w="2694" w:type="dxa"/>
            <w:shd w:val="clear" w:color="auto" w:fill="auto"/>
          </w:tcPr>
          <w:p w:rsidR="00C7498A" w:rsidRPr="003579EC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3579EC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3579EC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3579EC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700" w:rsidRDefault="00C81700">
      <w:r>
        <w:separator/>
      </w:r>
    </w:p>
  </w:endnote>
  <w:endnote w:type="continuationSeparator" w:id="0">
    <w:p w:rsidR="00C81700" w:rsidRDefault="00C81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700" w:rsidRDefault="00C81700">
      <w:r>
        <w:separator/>
      </w:r>
    </w:p>
  </w:footnote>
  <w:footnote w:type="continuationSeparator" w:id="0">
    <w:p w:rsidR="00C81700" w:rsidRDefault="00C81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6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5"/>
  </w:num>
  <w:num w:numId="4">
    <w:abstractNumId w:val="6"/>
  </w:num>
  <w:num w:numId="5">
    <w:abstractNumId w:val="7"/>
  </w:num>
  <w:num w:numId="6">
    <w:abstractNumId w:val="25"/>
  </w:num>
  <w:num w:numId="7">
    <w:abstractNumId w:val="13"/>
  </w:num>
  <w:num w:numId="8">
    <w:abstractNumId w:val="20"/>
  </w:num>
  <w:num w:numId="9">
    <w:abstractNumId w:val="19"/>
  </w:num>
  <w:num w:numId="10">
    <w:abstractNumId w:val="22"/>
  </w:num>
  <w:num w:numId="11">
    <w:abstractNumId w:val="14"/>
  </w:num>
  <w:num w:numId="12">
    <w:abstractNumId w:val="31"/>
  </w:num>
  <w:num w:numId="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</w:num>
  <w:num w:numId="15">
    <w:abstractNumId w:val="1"/>
  </w:num>
  <w:num w:numId="16">
    <w:abstractNumId w:val="9"/>
  </w:num>
  <w:num w:numId="17">
    <w:abstractNumId w:val="29"/>
  </w:num>
  <w:num w:numId="18">
    <w:abstractNumId w:val="23"/>
  </w:num>
  <w:num w:numId="19">
    <w:abstractNumId w:val="4"/>
  </w:num>
  <w:num w:numId="20">
    <w:abstractNumId w:val="32"/>
  </w:num>
  <w:num w:numId="21">
    <w:abstractNumId w:val="18"/>
  </w:num>
  <w:num w:numId="22">
    <w:abstractNumId w:val="3"/>
  </w:num>
  <w:num w:numId="23">
    <w:abstractNumId w:val="5"/>
  </w:num>
  <w:num w:numId="24">
    <w:abstractNumId w:val="16"/>
  </w:num>
  <w:num w:numId="2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0"/>
  </w:num>
  <w:num w:numId="31">
    <w:abstractNumId w:val="17"/>
  </w:num>
  <w:num w:numId="32">
    <w:abstractNumId w:val="11"/>
  </w:num>
  <w:num w:numId="33">
    <w:abstractNumId w:val="30"/>
  </w:num>
  <w:num w:numId="34">
    <w:abstractNumId w:val="12"/>
  </w:num>
  <w:num w:numId="35">
    <w:abstractNumId w:val="8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4157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205C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1700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1D7B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98707-296A-4C51-8213-F9F820041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482</TotalTime>
  <Pages>3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68</cp:revision>
  <cp:lastPrinted>2022-03-15T08:10:00Z</cp:lastPrinted>
  <dcterms:created xsi:type="dcterms:W3CDTF">2021-12-19T03:30:00Z</dcterms:created>
  <dcterms:modified xsi:type="dcterms:W3CDTF">2022-03-15T09:19:00Z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