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56175">
        <w:rPr>
          <w:rFonts w:ascii="PT Astra Serif" w:hAnsi="PT Astra Serif"/>
          <w:b/>
          <w:bCs/>
        </w:rPr>
        <w:t>8</w:t>
      </w:r>
      <w:r w:rsidR="00713A08">
        <w:rPr>
          <w:rFonts w:ascii="PT Astra Serif" w:hAnsi="PT Astra Serif"/>
          <w:b/>
          <w:bCs/>
        </w:rPr>
        <w:t>4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EE1AC8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713A08">
        <w:rPr>
          <w:rFonts w:ascii="PT Astra Serif" w:hAnsi="PT Astra Serif"/>
        </w:rPr>
        <w:t>25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713A08">
        <w:rPr>
          <w:rFonts w:ascii="PT Astra Serif" w:hAnsi="PT Astra Serif"/>
        </w:rPr>
        <w:t>58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8343FD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8343FD">
        <w:rPr>
          <w:rFonts w:ascii="PT Astra Serif" w:hAnsi="PT Astra Serif"/>
        </w:rPr>
        <w:t>ХХХ</w:t>
      </w:r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713A08" w:rsidP="00456175">
            <w:pPr>
              <w:pStyle w:val="af1"/>
            </w:pPr>
            <w:r w:rsidRPr="00EE1AC8">
              <w:t>70:21:0100006:509</w:t>
            </w:r>
          </w:p>
        </w:tc>
        <w:tc>
          <w:tcPr>
            <w:tcW w:w="4560" w:type="dxa"/>
            <w:shd w:val="clear" w:color="auto" w:fill="auto"/>
          </w:tcPr>
          <w:p w:rsidR="00713A08" w:rsidRPr="00EE1AC8" w:rsidRDefault="00713A08" w:rsidP="00713A08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Томская область, г. Томск,</w:t>
            </w:r>
            <w:r>
              <w:rPr>
                <w:rFonts w:ascii="PT Astra Serif" w:hAnsi="PT Astra Serif"/>
              </w:rPr>
              <w:t xml:space="preserve"> ул. Витимская, д. ½, строен. 1</w:t>
            </w:r>
          </w:p>
          <w:p w:rsidR="006A77CE" w:rsidRPr="00A44F36" w:rsidRDefault="006A77CE" w:rsidP="0027385A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A32712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713A08" w:rsidRPr="00EE1AC8">
        <w:rPr>
          <w:rFonts w:ascii="PT Astra Serif" w:hAnsi="PT Astra Serif"/>
        </w:rPr>
        <w:t>3 043 200 (двадцать три миллиона семьсот сорок три тысячи двести</w:t>
      </w:r>
      <w:r w:rsidR="00713A08">
        <w:rPr>
          <w:rFonts w:ascii="PT Astra Serif" w:hAnsi="PT Astra Serif"/>
        </w:rPr>
        <w:t>)</w:t>
      </w:r>
      <w:r w:rsidR="00226219" w:rsidRPr="00EE1AC8">
        <w:rPr>
          <w:rFonts w:ascii="PT Astra Serif" w:hAnsi="PT Astra Serif"/>
        </w:rPr>
        <w:t xml:space="preserve"> </w:t>
      </w:r>
      <w:r w:rsidR="007727F9" w:rsidRPr="00EE1AC8">
        <w:rPr>
          <w:rFonts w:ascii="PT Astra Serif" w:hAnsi="PT Astra Serif"/>
        </w:rPr>
        <w:t>рублей</w:t>
      </w:r>
      <w:r w:rsidR="008C7726" w:rsidRPr="00F47495">
        <w:rPr>
          <w:rFonts w:ascii="PT Astra Serif" w:hAnsi="PT Astra Serif"/>
        </w:rPr>
        <w:t xml:space="preserve">, определенной по состоянию на </w:t>
      </w:r>
      <w:r w:rsidR="00713A08" w:rsidRPr="00EE1AC8">
        <w:rPr>
          <w:rFonts w:ascii="PT Astra Serif" w:hAnsi="PT Astra Serif"/>
        </w:rPr>
        <w:t xml:space="preserve">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A32712" w:rsidRPr="00A44F36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организации оценщиков, членом которой является </w:t>
            </w:r>
            <w:r w:rsidRPr="00A44F36">
              <w:lastRenderedPageBreak/>
              <w:t>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членство оценщика в саморегулируемой </w:t>
            </w:r>
            <w:r w:rsidRPr="00A44F36">
              <w:lastRenderedPageBreak/>
              <w:t>организации оценщиков</w:t>
            </w:r>
          </w:p>
        </w:tc>
      </w:tr>
      <w:tr w:rsidR="007727F9" w:rsidRPr="00A44F36" w:rsidTr="00EF3D77">
        <w:tc>
          <w:tcPr>
            <w:tcW w:w="2981" w:type="dxa"/>
            <w:shd w:val="clear" w:color="auto" w:fill="auto"/>
          </w:tcPr>
          <w:p w:rsidR="007727F9" w:rsidRPr="001F4C8C" w:rsidRDefault="00713A08" w:rsidP="007727F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Демидов Алексей Владимирович</w:t>
            </w:r>
          </w:p>
        </w:tc>
        <w:tc>
          <w:tcPr>
            <w:tcW w:w="3068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7727F9" w:rsidRPr="001F4C8C" w:rsidRDefault="007727F9" w:rsidP="00713A08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 xml:space="preserve">Регистрационный № </w:t>
            </w:r>
            <w:r w:rsidR="00713A08">
              <w:rPr>
                <w:rFonts w:ascii="PT Astra Serif" w:hAnsi="PT Astra Serif"/>
              </w:rPr>
              <w:t>006244</w:t>
            </w:r>
            <w:r w:rsidRPr="001F4C8C">
              <w:rPr>
                <w:rFonts w:ascii="PT Astra Serif" w:hAnsi="PT Astra Serif"/>
              </w:rPr>
              <w:t xml:space="preserve">, дата включения в реестр </w:t>
            </w:r>
            <w:r w:rsidR="00713A08">
              <w:rPr>
                <w:rFonts w:ascii="PT Astra Serif" w:hAnsi="PT Astra Serif"/>
              </w:rPr>
              <w:t>13.01.2010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713A08" w:rsidRPr="00EE1AC8" w:rsidRDefault="00713A08" w:rsidP="00713A08">
      <w:pPr>
        <w:pStyle w:val="aff0"/>
        <w:numPr>
          <w:ilvl w:val="1"/>
          <w:numId w:val="16"/>
        </w:numPr>
        <w:tabs>
          <w:tab w:val="clear" w:pos="786"/>
          <w:tab w:val="num" w:pos="0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EE1AC8">
        <w:rPr>
          <w:rFonts w:ascii="PT Astra Serif" w:hAnsi="PT Astra Serif"/>
          <w:bCs/>
          <w:sz w:val="24"/>
          <w:szCs w:val="24"/>
        </w:rPr>
        <w:t>В табл. №7 на стр. 9 Отчета при описании объекта оценки оценщик позиционирует состояние здания как хорошее. При этом, в расчетной табл. на стр. 31-33 Отчета оценщик указывает состояние объекта оценки – удовлетворительное. Таким образом наблюдается противоречие в Отчете, которое могло привести к искажению стоимости оцениваемого здания. Тем самым нарушены требования</w:t>
      </w:r>
      <w:r w:rsidRPr="00EE1AC8">
        <w:rPr>
          <w:rFonts w:ascii="PT Astra Serif" w:hAnsi="PT Astra Serif"/>
          <w:b/>
          <w:bCs/>
          <w:sz w:val="24"/>
          <w:szCs w:val="24"/>
        </w:rPr>
        <w:t xml:space="preserve"> п. 5 ФСО №3</w:t>
      </w:r>
      <w:r w:rsidRPr="00EE1AC8">
        <w:rPr>
          <w:rFonts w:ascii="PT Astra Serif" w:hAnsi="PT Astra Serif"/>
          <w:bCs/>
          <w:sz w:val="24"/>
          <w:szCs w:val="24"/>
        </w:rPr>
        <w:t>.</w:t>
      </w:r>
    </w:p>
    <w:p w:rsidR="00713A08" w:rsidRPr="00EE1AC8" w:rsidRDefault="00713A08" w:rsidP="00713A08">
      <w:pPr>
        <w:pStyle w:val="aff0"/>
        <w:numPr>
          <w:ilvl w:val="1"/>
          <w:numId w:val="16"/>
        </w:numPr>
        <w:tabs>
          <w:tab w:val="clear" w:pos="786"/>
          <w:tab w:val="num" w:pos="0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EE1AC8">
        <w:rPr>
          <w:rFonts w:ascii="PT Astra Serif" w:hAnsi="PT Astra Serif"/>
          <w:bCs/>
          <w:sz w:val="24"/>
          <w:szCs w:val="24"/>
        </w:rPr>
        <w:t xml:space="preserve">Для расчета рыночной стоимости земельного участка и нежилого здания в рамках сравнительного подхода оценщиком подобраны три объекта-аналога. Однако, обоснование выбора в их пользу в тексте Отчета отсутствует. В данном случае нарушены требования </w:t>
      </w:r>
      <w:r w:rsidRPr="00EE1AC8">
        <w:rPr>
          <w:rFonts w:ascii="PT Astra Serif" w:hAnsi="PT Astra Serif"/>
          <w:b/>
          <w:bCs/>
          <w:sz w:val="24"/>
          <w:szCs w:val="24"/>
        </w:rPr>
        <w:t xml:space="preserve">п. 5 ФСО №3 </w:t>
      </w:r>
      <w:r w:rsidRPr="00EE1AC8">
        <w:rPr>
          <w:rFonts w:ascii="PT Astra Serif" w:hAnsi="PT Astra Serif"/>
          <w:bCs/>
          <w:sz w:val="24"/>
          <w:szCs w:val="24"/>
        </w:rPr>
        <w:t xml:space="preserve">и </w:t>
      </w:r>
      <w:r w:rsidRPr="00EE1AC8">
        <w:rPr>
          <w:rFonts w:ascii="PT Astra Serif" w:hAnsi="PT Astra Serif"/>
          <w:b/>
          <w:bCs/>
          <w:sz w:val="24"/>
          <w:szCs w:val="24"/>
        </w:rPr>
        <w:t>п. 22в ФСО №7</w:t>
      </w:r>
      <w:r w:rsidRPr="00EE1AC8">
        <w:rPr>
          <w:rFonts w:ascii="PT Astra Serif" w:hAnsi="PT Astra Serif"/>
          <w:bCs/>
          <w:sz w:val="24"/>
          <w:szCs w:val="24"/>
        </w:rPr>
        <w:t>.</w:t>
      </w:r>
    </w:p>
    <w:p w:rsidR="00713A08" w:rsidRPr="00EE1AC8" w:rsidRDefault="00713A08" w:rsidP="00713A08">
      <w:pPr>
        <w:pStyle w:val="aff0"/>
        <w:numPr>
          <w:ilvl w:val="1"/>
          <w:numId w:val="16"/>
        </w:numPr>
        <w:tabs>
          <w:tab w:val="clear" w:pos="786"/>
          <w:tab w:val="num" w:pos="0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EE1AC8">
        <w:rPr>
          <w:rFonts w:ascii="PT Astra Serif" w:hAnsi="PT Astra Serif"/>
          <w:bCs/>
          <w:sz w:val="24"/>
          <w:szCs w:val="24"/>
        </w:rPr>
        <w:t xml:space="preserve">При расчете рыночной стоимости объекта оценки в рамках сравнительного подхода, Оценщик применяет </w:t>
      </w:r>
      <w:r w:rsidRPr="00EE1AC8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корректировку к стоимости объектов-аналогов на торг на основании табл. 188 из Справочника оценщика недвижимости. Корректирующие коэффициенты и скидки для сравнительного подхода. – Нижний Новгород. 2018г.» под редакцией Лейфер Л.А.                  </w:t>
      </w:r>
    </w:p>
    <w:p w:rsidR="00713A08" w:rsidRPr="00EE1AC8" w:rsidRDefault="00713A08" w:rsidP="00713A08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EE1AC8">
        <w:rPr>
          <w:rFonts w:ascii="PT Astra Serif" w:hAnsi="PT Astra Serif"/>
          <w:bCs/>
          <w:sz w:val="24"/>
          <w:szCs w:val="24"/>
        </w:rPr>
        <w:t xml:space="preserve">В табл. на стр. 31-33 Отчета, при определении стоимости сравнительным подходом, Оценщик применяет корректировку «скидка на торг» к стоимости всех объектов-аналогов в размере (минус) 25,6%. Данное значение корректировки соответствуют максимальному значению в расширенном интервале для неактивного рынка. Однако, в тексте отчета отсутствует обоснование применения </w:t>
      </w:r>
      <w:r w:rsidRPr="00EE1AC8">
        <w:rPr>
          <w:rFonts w:ascii="PT Astra Serif" w:hAnsi="PT Astra Serif"/>
          <w:bCs/>
          <w:sz w:val="24"/>
          <w:szCs w:val="24"/>
          <w:u w:val="single"/>
        </w:rPr>
        <w:t>максимального значения корректировок в расширенном интервале</w:t>
      </w:r>
      <w:r w:rsidRPr="00EE1AC8">
        <w:rPr>
          <w:rFonts w:ascii="PT Astra Serif" w:hAnsi="PT Astra Serif"/>
          <w:bCs/>
          <w:sz w:val="24"/>
          <w:szCs w:val="24"/>
        </w:rPr>
        <w:t xml:space="preserve"> неактивного рынка,</w:t>
      </w:r>
      <w:r w:rsidRPr="00EE1AC8">
        <w:rPr>
          <w:rFonts w:ascii="PT Astra Serif" w:hAnsi="PT Astra Serif"/>
        </w:rPr>
        <w:t xml:space="preserve"> </w:t>
      </w:r>
      <w:r w:rsidRPr="00EE1AC8">
        <w:rPr>
          <w:rFonts w:ascii="PT Astra Serif" w:hAnsi="PT Astra Serif"/>
          <w:bCs/>
          <w:sz w:val="24"/>
          <w:szCs w:val="24"/>
        </w:rPr>
        <w:t xml:space="preserve">что приводит к необоснованному занижению стоимости оцениваемого объекта в рамках сравнительного подхода. </w:t>
      </w:r>
      <w:r w:rsidRPr="00EE1AC8">
        <w:rPr>
          <w:rFonts w:ascii="PT Astra Serif" w:hAnsi="PT Astra Serif"/>
          <w:bCs/>
          <w:color w:val="FF0000"/>
          <w:sz w:val="24"/>
          <w:szCs w:val="24"/>
        </w:rPr>
        <w:t xml:space="preserve"> </w:t>
      </w:r>
      <w:r w:rsidRPr="00EE1AC8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</w:t>
      </w:r>
      <w:r w:rsidRPr="00EE1AC8">
        <w:rPr>
          <w:rFonts w:ascii="PT Astra Serif" w:hAnsi="PT Astra Serif"/>
          <w:bCs/>
          <w:sz w:val="24"/>
          <w:szCs w:val="24"/>
        </w:rPr>
        <w:t xml:space="preserve">Оценщиком нарушены требования </w:t>
      </w:r>
      <w:r w:rsidRPr="00EE1AC8">
        <w:rPr>
          <w:rFonts w:ascii="PT Astra Serif" w:hAnsi="PT Astra Serif"/>
          <w:b/>
          <w:bCs/>
          <w:sz w:val="24"/>
          <w:szCs w:val="24"/>
        </w:rPr>
        <w:t>п. 5 ФСО №3</w:t>
      </w:r>
      <w:r w:rsidRPr="00EE1AC8">
        <w:rPr>
          <w:rFonts w:ascii="PT Astra Serif" w:hAnsi="PT Astra Serif"/>
          <w:bCs/>
          <w:sz w:val="24"/>
          <w:szCs w:val="24"/>
        </w:rPr>
        <w:t>.</w:t>
      </w:r>
    </w:p>
    <w:p w:rsidR="00713A08" w:rsidRPr="00EE1AC8" w:rsidRDefault="00713A08" w:rsidP="00713A08">
      <w:pPr>
        <w:pStyle w:val="aff0"/>
        <w:numPr>
          <w:ilvl w:val="1"/>
          <w:numId w:val="16"/>
        </w:numPr>
        <w:tabs>
          <w:tab w:val="clear" w:pos="786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EE1AC8">
        <w:rPr>
          <w:rFonts w:ascii="PT Astra Serif" w:hAnsi="PT Astra Serif"/>
          <w:bCs/>
          <w:sz w:val="24"/>
          <w:szCs w:val="24"/>
        </w:rPr>
        <w:t>Рыночная стоимость земельного участка и нежилого здания рассчитывается по состоянию на дату оценки 01.01.2019. В табл. на стр. 26-31 Отчета,</w:t>
      </w:r>
      <w:r w:rsidRPr="00EE1AC8">
        <w:rPr>
          <w:rFonts w:ascii="PT Astra Serif" w:eastAsia="Times New Roman" w:hAnsi="PT Astra Serif"/>
          <w:bCs/>
          <w:color w:val="000000"/>
          <w:sz w:val="24"/>
          <w:szCs w:val="24"/>
          <w:shd w:val="clear" w:color="auto" w:fill="FFFFFF"/>
          <w:lang w:eastAsia="ru-RU"/>
        </w:rPr>
        <w:t xml:space="preserve"> при расчёте земельного участка оценки сравнительным подходом Оценщик применяет три объекта-аналога с</w:t>
      </w:r>
      <w:r>
        <w:rPr>
          <w:rFonts w:ascii="PT Astra Serif" w:eastAsia="Times New Roman" w:hAnsi="PT Astra Serif"/>
          <w:bCs/>
          <w:color w:val="000000"/>
          <w:sz w:val="24"/>
          <w:szCs w:val="24"/>
          <w:shd w:val="clear" w:color="auto" w:fill="FFFFFF"/>
          <w:lang w:eastAsia="ru-RU"/>
        </w:rPr>
        <w:t xml:space="preserve"> датами предложений 5.10.2017; 16.10.2017 и 28.09.2018</w:t>
      </w:r>
      <w:r w:rsidRPr="00EE1AC8">
        <w:rPr>
          <w:rFonts w:ascii="PT Astra Serif" w:eastAsia="Times New Roman" w:hAnsi="PT Astra Serif"/>
          <w:bCs/>
          <w:color w:val="000000"/>
          <w:sz w:val="24"/>
          <w:szCs w:val="24"/>
          <w:shd w:val="clear" w:color="auto" w:fill="FFFFFF"/>
          <w:lang w:eastAsia="ru-RU"/>
        </w:rPr>
        <w:t xml:space="preserve"> соответственно. Для расчета стоимости здания на стр. 31-33 Отчета даты предложений о</w:t>
      </w:r>
      <w:r>
        <w:rPr>
          <w:rFonts w:ascii="PT Astra Serif" w:eastAsia="Times New Roman" w:hAnsi="PT Astra Serif"/>
          <w:bCs/>
          <w:color w:val="000000"/>
          <w:sz w:val="24"/>
          <w:szCs w:val="24"/>
          <w:shd w:val="clear" w:color="auto" w:fill="FFFFFF"/>
          <w:lang w:eastAsia="ru-RU"/>
        </w:rPr>
        <w:t xml:space="preserve"> продаже аналогов: 01.07.2017, 04.07.2017 и 31.07.2017.</w:t>
      </w:r>
      <w:r w:rsidRPr="00EE1AC8">
        <w:rPr>
          <w:rFonts w:ascii="PT Astra Serif" w:eastAsia="Times New Roman" w:hAnsi="PT Astra Serif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E1AC8">
        <w:rPr>
          <w:rFonts w:ascii="PT Astra Serif" w:hAnsi="PT Astra Serif"/>
          <w:bCs/>
          <w:sz w:val="24"/>
          <w:szCs w:val="24"/>
        </w:rPr>
        <w:t xml:space="preserve">Однако, Оценщиком ошибочно применена корректировка на «время продажи» в размере 0% в отношении всех объектов-аналогов, что не отражает действительной разницы в актуальности объектов-аналогов и приводит к искажению стоимости оцениваемого объекта. Данный факт нарушает </w:t>
      </w:r>
      <w:r w:rsidRPr="00EE1AC8">
        <w:rPr>
          <w:rFonts w:ascii="PT Astra Serif" w:hAnsi="PT Astra Serif"/>
          <w:b/>
          <w:bCs/>
          <w:sz w:val="24"/>
          <w:szCs w:val="24"/>
        </w:rPr>
        <w:t>п. 5 ФСО №3</w:t>
      </w:r>
      <w:r w:rsidRPr="00EE1AC8">
        <w:rPr>
          <w:rFonts w:ascii="PT Astra Serif" w:hAnsi="PT Astra Serif"/>
          <w:bCs/>
          <w:sz w:val="24"/>
          <w:szCs w:val="24"/>
        </w:rPr>
        <w:t>.</w:t>
      </w:r>
    </w:p>
    <w:p w:rsidR="00713A08" w:rsidRPr="00EE1AC8" w:rsidRDefault="00713A08" w:rsidP="00713A08">
      <w:pPr>
        <w:pStyle w:val="aff0"/>
        <w:numPr>
          <w:ilvl w:val="1"/>
          <w:numId w:val="16"/>
        </w:numPr>
        <w:tabs>
          <w:tab w:val="clear" w:pos="786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EE1AC8">
        <w:rPr>
          <w:rFonts w:ascii="PT Astra Serif" w:hAnsi="PT Astra Serif"/>
          <w:bCs/>
          <w:sz w:val="24"/>
          <w:szCs w:val="24"/>
        </w:rPr>
        <w:t xml:space="preserve">Для расчета рыночной стоимости подкрановых путей затратным подходом в табл. 36 на стр. 37 Отчета оценщик применяет в качестве объекта замещения «трамвайные пути». Трамвайные пути не могут выступать в качестве объекта замещения, так как относятся к другому виду сооружений, имеющих существенные различия в характеристиках (класс стали, толщина и прочее). Нарушены </w:t>
      </w:r>
      <w:r w:rsidRPr="00EE1AC8">
        <w:rPr>
          <w:rFonts w:ascii="PT Astra Serif" w:hAnsi="PT Astra Serif"/>
          <w:b/>
          <w:bCs/>
          <w:sz w:val="24"/>
          <w:szCs w:val="24"/>
        </w:rPr>
        <w:t>п. 5 ФСО №3</w:t>
      </w:r>
      <w:r w:rsidRPr="00EE1AC8">
        <w:rPr>
          <w:rFonts w:ascii="PT Astra Serif" w:hAnsi="PT Astra Serif"/>
          <w:bCs/>
          <w:sz w:val="24"/>
          <w:szCs w:val="24"/>
        </w:rPr>
        <w:t>.</w:t>
      </w:r>
    </w:p>
    <w:p w:rsidR="00713A08" w:rsidRPr="00EE1AC8" w:rsidRDefault="00713A08" w:rsidP="00713A08">
      <w:pPr>
        <w:pStyle w:val="aff0"/>
        <w:numPr>
          <w:ilvl w:val="1"/>
          <w:numId w:val="16"/>
        </w:numPr>
        <w:tabs>
          <w:tab w:val="clear" w:pos="786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EE1AC8">
        <w:rPr>
          <w:rFonts w:ascii="PT Astra Serif" w:hAnsi="PT Astra Serif"/>
          <w:bCs/>
          <w:sz w:val="24"/>
          <w:szCs w:val="24"/>
        </w:rPr>
        <w:t>Фотографий нежилого здания, представленных в Приложении на стр. 56-57 Отчета недостаточно для идентификации объекта. Фотоматериалы подкрановых путей в Отчете отсутствуют вовсе. Таким образом, нарушены требования п. 5 ФСО №3.</w:t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713A08" w:rsidRPr="00EE1AC8" w:rsidRDefault="00713A08" w:rsidP="00713A08">
      <w:pPr>
        <w:ind w:firstLine="567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8343FD">
        <w:rPr>
          <w:rFonts w:ascii="PT Astra Serif" w:hAnsi="PT Astra Serif"/>
        </w:rPr>
        <w:t>ХХХ</w:t>
      </w:r>
      <w:bookmarkStart w:id="0" w:name="_GoBack"/>
      <w:bookmarkEnd w:id="0"/>
      <w:r w:rsidRPr="00EE1AC8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70:21:0100006:509, расположенного по адресу: Томская область, г. Томск, ул. Витимская, д. ½, строен. 1.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Малиновская Елена Юрьевна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lastRenderedPageBreak/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Мельникова Екатерина Феликсовна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Чадаева Инна Валерьевна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544" w:rsidRDefault="00895544">
      <w:r>
        <w:separator/>
      </w:r>
    </w:p>
  </w:endnote>
  <w:endnote w:type="continuationSeparator" w:id="0">
    <w:p w:rsidR="00895544" w:rsidRDefault="00895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544" w:rsidRDefault="00895544">
      <w:r>
        <w:separator/>
      </w:r>
    </w:p>
  </w:footnote>
  <w:footnote w:type="continuationSeparator" w:id="0">
    <w:p w:rsidR="00895544" w:rsidRDefault="00895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3FD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95544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3D19D-7F53-40DA-AFAA-C0C02C0FF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944</TotalTime>
  <Pages>3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27</cp:revision>
  <cp:lastPrinted>2022-04-26T01:57:00Z</cp:lastPrinted>
  <dcterms:created xsi:type="dcterms:W3CDTF">2022-03-22T07:37:00Z</dcterms:created>
  <dcterms:modified xsi:type="dcterms:W3CDTF">2022-05-04T04:39:00Z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