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240CE">
        <w:rPr>
          <w:rFonts w:ascii="PT Astra Serif" w:hAnsi="PT Astra Serif"/>
          <w:b/>
          <w:bCs/>
        </w:rPr>
        <w:t>9</w:t>
      </w:r>
      <w:r w:rsidR="007C2C52">
        <w:rPr>
          <w:rFonts w:ascii="PT Astra Serif" w:hAnsi="PT Astra Serif"/>
          <w:b/>
          <w:bCs/>
        </w:rPr>
        <w:t>5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EE1AC8" w:rsidRDefault="001D76A1" w:rsidP="001D76A1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1D76A1" w:rsidRPr="00EE1AC8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1D76A1" w:rsidRPr="00A44F36" w:rsidTr="000D3D77">
        <w:tc>
          <w:tcPr>
            <w:tcW w:w="2968" w:type="dxa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C7C5E" w:rsidRPr="00B67788" w:rsidRDefault="00736B16" w:rsidP="00EC7C5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7C2C52">
        <w:rPr>
          <w:rFonts w:ascii="PT Astra Serif" w:hAnsi="PT Astra Serif"/>
        </w:rPr>
        <w:t>08</w:t>
      </w:r>
      <w:r w:rsidR="00BE6A23" w:rsidRPr="00A44F36">
        <w:rPr>
          <w:rFonts w:ascii="PT Astra Serif" w:hAnsi="PT Astra Serif"/>
        </w:rPr>
        <w:t>.</w:t>
      </w:r>
      <w:r w:rsidR="007C2C52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7C2C52">
        <w:rPr>
          <w:rFonts w:ascii="PT Astra Serif" w:hAnsi="PT Astra Serif"/>
        </w:rPr>
        <w:t>8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FD4393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FD4393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C2C52" w:rsidP="00456175">
            <w:pPr>
              <w:pStyle w:val="af1"/>
            </w:pPr>
            <w:r w:rsidRPr="00B67788">
              <w:t>70:21:0100023:1064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C2C52" w:rsidP="0027385A">
            <w:pPr>
              <w:jc w:val="both"/>
              <w:rPr>
                <w:rFonts w:ascii="PT Astra Serif" w:hAnsi="PT Astra Serif"/>
              </w:rPr>
            </w:pPr>
            <w:r w:rsidRPr="00B67788">
              <w:rPr>
                <w:rFonts w:ascii="PT Astra Serif" w:hAnsi="PT Astra Serif"/>
              </w:rPr>
              <w:t>Томская область, г. Томск, пр-кт Ленина, д. 217, строен. 12</w:t>
            </w:r>
            <w:r w:rsidR="005064F0">
              <w:rPr>
                <w:rFonts w:ascii="PT Astra Serif" w:hAnsi="PT Astra Serif"/>
              </w:rPr>
              <w:t>, пом. 1054-1059, 1063-1068, 1070-1075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C2C52" w:rsidRPr="00B67788">
        <w:rPr>
          <w:rFonts w:ascii="PT Astra Serif" w:hAnsi="PT Astra Serif"/>
        </w:rPr>
        <w:t>2 457 400 (</w:t>
      </w:r>
      <w:r w:rsidR="004D2969">
        <w:rPr>
          <w:rFonts w:ascii="PT Astra Serif" w:hAnsi="PT Astra Serif"/>
        </w:rPr>
        <w:t>два миллиона</w:t>
      </w:r>
      <w:r w:rsidR="007C2C52" w:rsidRPr="00B67788">
        <w:rPr>
          <w:rFonts w:ascii="PT Astra Serif" w:hAnsi="PT Astra Serif"/>
        </w:rPr>
        <w:t xml:space="preserve"> </w:t>
      </w:r>
      <w:r w:rsidR="004D2969">
        <w:rPr>
          <w:rFonts w:ascii="PT Astra Serif" w:hAnsi="PT Astra Serif"/>
        </w:rPr>
        <w:t>четыреста пятьдесят семь</w:t>
      </w:r>
      <w:r w:rsidR="007C2C52" w:rsidRPr="00B67788">
        <w:rPr>
          <w:rFonts w:ascii="PT Astra Serif" w:hAnsi="PT Astra Serif"/>
        </w:rPr>
        <w:t xml:space="preserve"> тысяч</w:t>
      </w:r>
      <w:r w:rsidR="004D2969">
        <w:rPr>
          <w:rFonts w:ascii="PT Astra Serif" w:hAnsi="PT Astra Serif"/>
        </w:rPr>
        <w:t xml:space="preserve"> четыреста</w:t>
      </w:r>
      <w:r w:rsidR="007C2C52" w:rsidRPr="00B67788">
        <w:rPr>
          <w:rFonts w:ascii="PT Astra Serif" w:hAnsi="PT Astra Serif"/>
        </w:rPr>
        <w:t>)</w:t>
      </w:r>
      <w:r w:rsidR="007C2C52">
        <w:rPr>
          <w:rFonts w:ascii="PT Astra Serif" w:hAnsi="PT Astra Serif"/>
        </w:rPr>
        <w:t xml:space="preserve"> </w:t>
      </w:r>
      <w:r w:rsidR="008F70B9" w:rsidRPr="00B67788">
        <w:rPr>
          <w:rFonts w:ascii="PT Astra Serif" w:hAnsi="PT Astra Serif"/>
        </w:rPr>
        <w:t xml:space="preserve">рублей, определенной по состоянию на </w:t>
      </w:r>
      <w:r w:rsidR="001D76A1" w:rsidRPr="00B67788">
        <w:rPr>
          <w:rFonts w:ascii="PT Astra Serif" w:hAnsi="PT Astra Serif"/>
        </w:rPr>
        <w:t xml:space="preserve">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064F0" w:rsidRPr="00A44F36" w:rsidTr="00EF3D77">
        <w:tc>
          <w:tcPr>
            <w:tcW w:w="2981" w:type="dxa"/>
            <w:shd w:val="clear" w:color="auto" w:fill="auto"/>
          </w:tcPr>
          <w:p w:rsidR="005064F0" w:rsidRDefault="005064F0" w:rsidP="005064F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Соболев Андрей Иванович</w:t>
            </w:r>
          </w:p>
        </w:tc>
        <w:tc>
          <w:tcPr>
            <w:tcW w:w="3068" w:type="dxa"/>
            <w:shd w:val="clear" w:color="auto" w:fill="auto"/>
          </w:tcPr>
          <w:p w:rsidR="005064F0" w:rsidRDefault="005064F0" w:rsidP="005064F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064F0" w:rsidRDefault="005064F0" w:rsidP="005064F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009100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7C2C52" w:rsidRPr="00B67788" w:rsidRDefault="007C2C52" w:rsidP="007C2C52">
      <w:pPr>
        <w:pStyle w:val="aff0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PT Astra Serif" w:hAnsi="PT Astra Serif"/>
          <w:bCs/>
          <w:i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При расчете стоимости объекта оценки Оценщику необходимо анализировать сегмент рынка, к которому относится объект оценки. В тексте Отчета отсутствует как таковая часть анализа рынка относительно определения сегмента рынка, к </w:t>
      </w:r>
      <w:r w:rsidRPr="00B67788">
        <w:rPr>
          <w:rFonts w:ascii="PT Astra Serif" w:hAnsi="PT Astra Serif"/>
          <w:bCs/>
          <w:sz w:val="24"/>
          <w:szCs w:val="24"/>
        </w:rPr>
        <w:lastRenderedPageBreak/>
        <w:t xml:space="preserve">которому принадлежит оцениваемый объект, что влечет за собой нарушение требований </w:t>
      </w:r>
      <w:r w:rsidRPr="00B67788">
        <w:rPr>
          <w:rFonts w:ascii="PT Astra Serif" w:hAnsi="PT Astra Serif"/>
          <w:b/>
          <w:bCs/>
          <w:sz w:val="24"/>
          <w:szCs w:val="24"/>
        </w:rPr>
        <w:t>п. 11в ФСО</w:t>
      </w:r>
      <w:r w:rsidRPr="00B67788">
        <w:rPr>
          <w:rFonts w:ascii="PT Astra Serif" w:hAnsi="PT Astra Serif"/>
          <w:b/>
          <w:bCs/>
          <w:color w:val="000000"/>
          <w:sz w:val="24"/>
          <w:szCs w:val="24"/>
        </w:rPr>
        <w:t xml:space="preserve"> №7.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Кроме того, по результатам анализа наиболее эффективного использования объекта оценки, выводы относительно использования оцениваемого объекта в зависимости от назначения сформулированы некорректно. На стр. 45 Отчета Оценщиком представлена таблица с выводами (см.рис.1), согласно которой текущее, разрешенное и фактическое использование объекта оценки определено как «нежилое помещение». 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>Вместе с тем, рынок нежилой (коммерческой) недвижимости имеет более сложную структуру и делится по типу недвижимости в зависимости от назначения и варианта использования на офисные, торговые, производственно-промышленные, складские здания, гостиницы, рестораны. При оценке недвижимости </w:t>
      </w:r>
      <w:r w:rsidRPr="00B67788">
        <w:rPr>
          <w:rFonts w:ascii="PT Astra Serif" w:hAnsi="PT Astra Serif"/>
          <w:color w:val="000000"/>
          <w:sz w:val="24"/>
          <w:szCs w:val="24"/>
        </w:rPr>
        <w:t>принцип наилучшего и наиболее эффективного использования является ключевым,</w:t>
      </w:r>
      <w:r w:rsidRPr="00B67788">
        <w:rPr>
          <w:rFonts w:ascii="PT Astra Serif" w:hAnsi="PT Astra Serif"/>
          <w:bCs/>
          <w:color w:val="000000"/>
          <w:sz w:val="24"/>
          <w:szCs w:val="24"/>
        </w:rPr>
        <w:t> на нем базируется решение о величине стоимости объекта оценки</w:t>
      </w:r>
      <w:r w:rsidRPr="00B67788">
        <w:rPr>
          <w:rFonts w:ascii="PT Astra Serif" w:hAnsi="PT Astra Serif"/>
          <w:color w:val="000000"/>
          <w:sz w:val="24"/>
          <w:szCs w:val="24"/>
        </w:rPr>
        <w:t xml:space="preserve">. В соответствии с </w:t>
      </w:r>
      <w:r w:rsidRPr="00B67788">
        <w:rPr>
          <w:rFonts w:ascii="PT Astra Serif" w:hAnsi="PT Astra Serif"/>
          <w:b/>
          <w:color w:val="000000"/>
          <w:sz w:val="24"/>
          <w:szCs w:val="24"/>
        </w:rPr>
        <w:t>п.12 ФСО №7</w:t>
      </w:r>
      <w:r w:rsidRPr="00B67788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B67788">
        <w:rPr>
          <w:rFonts w:ascii="PT Astra Serif" w:hAnsi="PT Astra Serif"/>
          <w:i/>
          <w:color w:val="000000"/>
          <w:sz w:val="24"/>
          <w:szCs w:val="24"/>
        </w:rPr>
        <w:t>Анализ наиболее эффективного использования лежит в основе оценок рыночной стоимости недвижимости</w:t>
      </w:r>
      <w:r w:rsidRPr="00B67788">
        <w:rPr>
          <w:rFonts w:ascii="PT Astra Serif" w:hAnsi="PT Astra Serif"/>
          <w:color w:val="000000"/>
          <w:sz w:val="24"/>
          <w:szCs w:val="24"/>
        </w:rPr>
        <w:t xml:space="preserve">», отсутствие (конкретизация) которого влечет за собой нарушение требований </w:t>
      </w:r>
      <w:r w:rsidRPr="00B67788">
        <w:rPr>
          <w:rFonts w:ascii="PT Astra Serif" w:hAnsi="PT Astra Serif"/>
          <w:b/>
          <w:color w:val="000000"/>
          <w:sz w:val="24"/>
          <w:szCs w:val="24"/>
        </w:rPr>
        <w:t>п. 16 ФСО №7</w:t>
      </w:r>
      <w:r w:rsidRPr="00B67788">
        <w:rPr>
          <w:rFonts w:ascii="PT Astra Serif" w:hAnsi="PT Astra Serif"/>
          <w:color w:val="000000"/>
          <w:sz w:val="24"/>
          <w:szCs w:val="24"/>
        </w:rPr>
        <w:t xml:space="preserve"> в части: «А</w:t>
      </w:r>
      <w:r w:rsidRPr="00B67788">
        <w:rPr>
          <w:rFonts w:ascii="PT Astra Serif" w:hAnsi="PT Astra Serif"/>
          <w:i/>
          <w:color w:val="000000"/>
          <w:sz w:val="24"/>
          <w:szCs w:val="24"/>
        </w:rPr>
        <w:t>нализ наиболее эффективного использования объекта оценки … выполняется путем проведения необходимых для этого вычислений либо без них, если представлены обоснования, не требующие расчетов».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2. Объект оценки представляет собой нежилое помещение из сегмента рынка производственно-складской недвижимости. 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>В соответствии с описанием объекта оценки, представленным Оценщиком на стр. 13 Отчета, часть помещений используется для предоставления услуг по ремонту транспортных средств, другая часть помещений используется для производства столярных изделий.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При расчете рыночной стоимости в рамках сравнительного и доходного подходов, Оценщик к стоимости объектов-аналогов №1 и №3 (сравнительный доход) и №1, №2 и №3 (доходный подход), которые являются универсальными производственно-складскими объектами, применяет понижающие корректирующие коэффициенты на функциональное назначение в размере (-)8,5%, объясняя это тем, что объект оценки имеет два вида использования: в качестве универсального производственного помещения и помещения, обслуживающего транспортные средства. 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>
        <w:rPr>
          <w:rFonts w:ascii="PT Astra Serif" w:hAnsi="PT Astra Serif"/>
          <w:bCs/>
          <w:color w:val="000000"/>
          <w:sz w:val="24"/>
          <w:szCs w:val="24"/>
        </w:rPr>
        <w:t>П</w:t>
      </w:r>
      <w:r w:rsidRPr="00B67788">
        <w:rPr>
          <w:rFonts w:ascii="PT Astra Serif" w:hAnsi="PT Astra Serif"/>
          <w:bCs/>
          <w:color w:val="000000"/>
          <w:sz w:val="24"/>
          <w:szCs w:val="24"/>
        </w:rPr>
        <w:t>рименение данного понижающего коэффициента некорректным, в связи с тем, что объект оценки полностью является универсальным производственно-складским объектом, сопоставимым по своему функциональному назначению с объектами-аналогами, также являющимися универсальными производственно-складскими объектами.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В «Справочнике оценщика недвижимости – 2018. Производственно-складская недвижимость и сходные типы объектов» под ред. Лейфера Л.А., который использует Оценщик, автор справочника на стр. 54 дает пояснения о том, что представляют собой объекты придорожного сервиса – «объекты придорожного сервиса, обслуживающие транспортные средства – это объекты, </w:t>
      </w:r>
      <w:r w:rsidRPr="00B67788">
        <w:rPr>
          <w:rFonts w:ascii="PT Astra Serif" w:hAnsi="PT Astra Serif"/>
          <w:bCs/>
          <w:color w:val="000000"/>
          <w:sz w:val="24"/>
          <w:szCs w:val="24"/>
          <w:u w:val="single"/>
        </w:rPr>
        <w:t>расположенные на придорожной полосе</w:t>
      </w: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 и предназначенные для обслуживания транспортных средств, которые могут быть перепрофилированы под универсальные производственно-складские объекты. В данном случае, имеются в виду здания и сооружения, расположенные на придорожной полосе и предназначенные для обслуживания участников дорожного движения в пути следования (мотели, гостиницы, кемпинги, станции технического обслуживания, автозаправочные станции, пункты питания, торговли, связи, медицинской помощи, мойки, средства рекламы и иные сооружения) (согласно ГОСТ 33062-2014 Дороги автомобильные общего пользования. Требования к размещению объектов дорожного и придорожного сервиса)».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>Объект оценки расположен в промзоне города на удалении от автотранспортной дороги и может использоваться не только в качестве автосервиса, следовательно, является универсальным производственно-складским объектом.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В этой связи, применение понижающего коэффициента на функциональное назначение к стоимости объектов-аналогов считаем некорректным, что приводит к нарушению требований </w:t>
      </w:r>
      <w:r w:rsidRPr="00B67788">
        <w:rPr>
          <w:rFonts w:ascii="PT Astra Serif" w:hAnsi="PT Astra Serif"/>
          <w:b/>
          <w:bCs/>
          <w:sz w:val="24"/>
          <w:szCs w:val="24"/>
        </w:rPr>
        <w:t>п. 5 ФСО №3</w:t>
      </w:r>
      <w:r w:rsidRPr="00B67788">
        <w:rPr>
          <w:rFonts w:ascii="PT Astra Serif" w:hAnsi="PT Astra Serif"/>
          <w:bCs/>
          <w:sz w:val="24"/>
          <w:szCs w:val="24"/>
        </w:rPr>
        <w:t>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3. В соответствии с фотоматериалами, представленными Оценщиком на стр. 14 – 27 Отчета, объект оценки обустроен системой отопления, по которой может </w:t>
      </w:r>
      <w:r w:rsidRPr="00B67788">
        <w:rPr>
          <w:rFonts w:ascii="PT Astra Serif" w:hAnsi="PT Astra Serif"/>
          <w:bCs/>
          <w:sz w:val="24"/>
          <w:szCs w:val="24"/>
        </w:rPr>
        <w:lastRenderedPageBreak/>
        <w:t>осуществляться циркуляция теплоносителя от котла. В помещениях установлен отопительный котел «Куппер МЕГА», в качестве топлива, для которого может использоваться дрова, топливные брикеты или уголь.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Однако, Оценщиком сделан вывод о том, что объект оценки не отапливается, что привело к дальнейшим ошибочным суждениям Оценщика относительно применения понижающих поправочных коэффициентов на «наличие отопления» к стоимости объектов-аналогов и занижению итоговой рыночной стоимости объекта оценки. </w:t>
      </w:r>
    </w:p>
    <w:p w:rsidR="007C2C52" w:rsidRPr="00B67788" w:rsidRDefault="007C2C52" w:rsidP="007C2C52">
      <w:pPr>
        <w:pStyle w:val="aff0"/>
        <w:tabs>
          <w:tab w:val="num" w:pos="4897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Тем самым Оценщиком нарушено требование </w:t>
      </w:r>
      <w:r w:rsidRPr="00B67788">
        <w:rPr>
          <w:rFonts w:ascii="PT Astra Serif" w:hAnsi="PT Astra Serif"/>
          <w:b/>
          <w:sz w:val="24"/>
          <w:szCs w:val="24"/>
          <w:lang w:eastAsia="ru-RU"/>
        </w:rPr>
        <w:t>п. 5 ФСО №3</w:t>
      </w:r>
      <w:r w:rsidRPr="00B67788">
        <w:rPr>
          <w:rFonts w:ascii="PT Astra Serif" w:hAnsi="PT Astra Serif"/>
          <w:sz w:val="24"/>
          <w:szCs w:val="24"/>
          <w:lang w:eastAsia="ru-RU"/>
        </w:rPr>
        <w:t>.</w:t>
      </w:r>
    </w:p>
    <w:p w:rsidR="007C2C52" w:rsidRPr="00B67788" w:rsidRDefault="007C2C52" w:rsidP="007C2C52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4. Оцениваемые помещения расположены на первом этаже двухэтажного здания. </w:t>
      </w:r>
    </w:p>
    <w:p w:rsidR="007C2C52" w:rsidRPr="00B67788" w:rsidRDefault="007C2C52" w:rsidP="007C2C52">
      <w:pPr>
        <w:ind w:firstLine="709"/>
        <w:jc w:val="both"/>
        <w:rPr>
          <w:rFonts w:ascii="PT Astra Serif" w:hAnsi="PT Astra Serif"/>
          <w:bCs/>
        </w:rPr>
      </w:pPr>
      <w:r w:rsidRPr="00B67788">
        <w:rPr>
          <w:rFonts w:ascii="PT Astra Serif" w:hAnsi="PT Astra Serif"/>
          <w:bCs/>
        </w:rPr>
        <w:t xml:space="preserve">Согласно скриншота объявления о продаже объекта-аналога №1 для расчета сравнительным подходом (стр. 70 Отчета), этаж расположения помещений по ул. Пролетарская, 64/1 – 0/2. </w:t>
      </w:r>
    </w:p>
    <w:p w:rsidR="007C2C52" w:rsidRPr="00B67788" w:rsidRDefault="007C2C52" w:rsidP="007C2C52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>Согласно скриншота объявления о продаже объекта-аналога №1 для расчета доходным подходом (стр. 73 Отчета), этаж расположения помещений по ул. Пролетарская, 60 стр. 3 – 2/2.</w:t>
      </w:r>
    </w:p>
    <w:p w:rsidR="007C2C52" w:rsidRPr="00B67788" w:rsidRDefault="007C2C52" w:rsidP="007C2C52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>При этом корректировки на «этаж расположения» в отношении стоимости данных объектов-аналогов по отношению к объекту оценки в Отчёте отсутствуют.</w:t>
      </w:r>
    </w:p>
    <w:p w:rsidR="007C2C52" w:rsidRPr="00B67788" w:rsidRDefault="007C2C52" w:rsidP="007C2C52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Вместе с тем, согласно </w:t>
      </w:r>
      <w:r w:rsidRPr="00B67788">
        <w:rPr>
          <w:rFonts w:ascii="PT Astra Serif" w:hAnsi="PT Astra Serif"/>
          <w:bCs/>
          <w:color w:val="000000"/>
          <w:sz w:val="24"/>
          <w:szCs w:val="24"/>
        </w:rPr>
        <w:t xml:space="preserve">«Справочника оценщика недвижимости – 2018. Производственно-складская недвижимость и сходные типы объектов» под ред. Лейфера Л.А., который использует Оценщик при расчете стоимости в данном Отчете, автор справочника на стр. 206 указывает, что «этаж расположения – это один из факторов, влияющих на стоимость производственно-складской недвижимости. Наземная часть зданий является предпочтительней с точки зрения доступа во внутренние помещения для погрузки/разгрузки, следовательно, и стоимость помещений, расположенных в наземной части здания больше». </w:t>
      </w:r>
    </w:p>
    <w:p w:rsidR="007C2C52" w:rsidRPr="00B67788" w:rsidRDefault="007C2C52" w:rsidP="007C2C52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</w:t>
      </w:r>
      <w:r w:rsidRPr="00B67788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>нарушены требования</w:t>
      </w:r>
      <w:r w:rsidRPr="00B67788">
        <w:rPr>
          <w:rFonts w:ascii="PT Astra Serif" w:eastAsia="Times New Roman" w:hAnsi="PT Astra Serif"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67788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B67788">
        <w:rPr>
          <w:rFonts w:ascii="PT Astra Serif" w:hAnsi="PT Astra Serif"/>
          <w:bCs/>
          <w:sz w:val="24"/>
          <w:szCs w:val="24"/>
        </w:rPr>
        <w:t>.</w:t>
      </w:r>
    </w:p>
    <w:p w:rsidR="007C2C52" w:rsidRPr="00B67788" w:rsidRDefault="007C2C52" w:rsidP="007C2C52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/>
          <w:bCs/>
        </w:rPr>
      </w:pPr>
      <w:r w:rsidRPr="00B67788">
        <w:rPr>
          <w:rFonts w:ascii="PT Astra Serif" w:hAnsi="PT Astra Serif"/>
          <w:bCs/>
          <w:sz w:val="24"/>
          <w:szCs w:val="24"/>
        </w:rPr>
        <w:t>5. На стр. 73-74 приложения к Отчету представлены скриншоты предложений об объектах-аналогах №1, 2, 3, используемых Оценщиком для расчета стоимости в рамках доходного подхода. В данных скриншотах отсутствует дата предложения объектов недвижимости, в связи с чем, не представляется возможным обосновать величину применяемых корректировок на «условия и дату сделки/предложения» (стр. 61 Отчета).</w:t>
      </w:r>
      <w:r w:rsidRPr="00B67788">
        <w:rPr>
          <w:rFonts w:ascii="PT Astra Serif" w:hAnsi="PT Astra Serif"/>
          <w:color w:val="000000"/>
          <w:shd w:val="clear" w:color="auto" w:fill="FFFFFF"/>
        </w:rPr>
        <w:tab/>
      </w:r>
      <w:r w:rsidRPr="00B67788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Оценщиком </w:t>
      </w:r>
      <w:r w:rsidRPr="00B67788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>нарушены требования</w:t>
      </w:r>
      <w:r w:rsidRPr="00B67788">
        <w:rPr>
          <w:rFonts w:ascii="PT Astra Serif" w:hAnsi="PT Astra Serif"/>
          <w:bCs/>
          <w:sz w:val="24"/>
          <w:szCs w:val="24"/>
        </w:rPr>
        <w:t xml:space="preserve"> </w:t>
      </w:r>
      <w:r w:rsidRPr="00B67788">
        <w:rPr>
          <w:rFonts w:ascii="PT Astra Serif" w:hAnsi="PT Astra Serif"/>
          <w:b/>
          <w:bCs/>
          <w:sz w:val="24"/>
          <w:szCs w:val="24"/>
        </w:rPr>
        <w:t>п. 5 ФСО №3</w:t>
      </w:r>
      <w:r w:rsidRPr="00B67788">
        <w:rPr>
          <w:rFonts w:ascii="PT Astra Serif" w:hAnsi="PT Astra Serif"/>
          <w:b/>
          <w:bCs/>
        </w:rPr>
        <w:t>.</w:t>
      </w:r>
    </w:p>
    <w:p w:rsidR="007C2C52" w:rsidRPr="00B67788" w:rsidRDefault="007C2C52" w:rsidP="007C2C5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ab/>
      </w:r>
    </w:p>
    <w:p w:rsidR="007C2C52" w:rsidRPr="00B67788" w:rsidRDefault="007C2C52" w:rsidP="007C2C5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7C2C52" w:rsidRPr="00B67788" w:rsidRDefault="007C2C52" w:rsidP="007C2C52">
      <w:pPr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FD4393">
        <w:rPr>
          <w:rFonts w:ascii="PT Astra Serif" w:hAnsi="PT Astra Serif"/>
        </w:rPr>
        <w:t>ХХХ</w:t>
      </w:r>
      <w:bookmarkStart w:id="0" w:name="_GoBack"/>
      <w:bookmarkEnd w:id="0"/>
      <w:r w:rsidRPr="00B67788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70:21:0100023:1064, расположенного по адресу: Томская область, г. Томск, пр-кт Ленина, д. 217, строен. 12</w:t>
      </w:r>
      <w:r w:rsidR="005064F0">
        <w:rPr>
          <w:rFonts w:ascii="PT Astra Serif" w:hAnsi="PT Astra Serif"/>
        </w:rPr>
        <w:t>, пом. 1054-1059, 1063-1068, 1070-1075</w:t>
      </w:r>
      <w:r w:rsidRPr="00B67788">
        <w:rPr>
          <w:rFonts w:ascii="PT Astra Serif" w:hAnsi="PT Astra Serif"/>
        </w:rPr>
        <w:t>.</w:t>
      </w:r>
    </w:p>
    <w:p w:rsidR="00EC228A" w:rsidRPr="008E08EC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064F0" w:rsidRPr="00B67788" w:rsidRDefault="005064F0" w:rsidP="005064F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председателя</w:t>
      </w:r>
      <w:r w:rsidRPr="00B67788">
        <w:rPr>
          <w:rFonts w:ascii="PT Astra Serif" w:hAnsi="PT Astra Serif"/>
        </w:rPr>
        <w:t xml:space="preserve"> комиссии                                                       </w:t>
      </w:r>
      <w:r>
        <w:rPr>
          <w:rFonts w:ascii="PT Astra Serif" w:hAnsi="PT Astra Serif"/>
        </w:rPr>
        <w:t xml:space="preserve"> </w:t>
      </w:r>
      <w:r w:rsidRPr="00B67788">
        <w:rPr>
          <w:rFonts w:ascii="PT Astra Serif" w:hAnsi="PT Astra Serif"/>
        </w:rPr>
        <w:t xml:space="preserve">     </w:t>
      </w:r>
      <w:r>
        <w:rPr>
          <w:rFonts w:ascii="PT Astra Serif" w:hAnsi="PT Astra Serif"/>
        </w:rPr>
        <w:t>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C40" w:rsidRDefault="00CB3C40">
      <w:r>
        <w:separator/>
      </w:r>
    </w:p>
  </w:endnote>
  <w:endnote w:type="continuationSeparator" w:id="0">
    <w:p w:rsidR="00CB3C40" w:rsidRDefault="00CB3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C40" w:rsidRDefault="00CB3C40">
      <w:r>
        <w:separator/>
      </w:r>
    </w:p>
  </w:footnote>
  <w:footnote w:type="continuationSeparator" w:id="0">
    <w:p w:rsidR="00CB3C40" w:rsidRDefault="00CB3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52B3B"/>
    <w:multiLevelType w:val="hybridMultilevel"/>
    <w:tmpl w:val="F57AE672"/>
    <w:lvl w:ilvl="0" w:tplc="DF7E6C3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16"/>
  </w:num>
  <w:num w:numId="4">
    <w:abstractNumId w:val="6"/>
  </w:num>
  <w:num w:numId="5">
    <w:abstractNumId w:val="7"/>
  </w:num>
  <w:num w:numId="6">
    <w:abstractNumId w:val="29"/>
  </w:num>
  <w:num w:numId="7">
    <w:abstractNumId w:val="14"/>
  </w:num>
  <w:num w:numId="8">
    <w:abstractNumId w:val="23"/>
  </w:num>
  <w:num w:numId="9">
    <w:abstractNumId w:val="22"/>
  </w:num>
  <w:num w:numId="10">
    <w:abstractNumId w:val="26"/>
  </w:num>
  <w:num w:numId="11">
    <w:abstractNumId w:val="15"/>
  </w:num>
  <w:num w:numId="12">
    <w:abstractNumId w:val="35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2"/>
  </w:num>
  <w:num w:numId="15">
    <w:abstractNumId w:val="1"/>
  </w:num>
  <w:num w:numId="16">
    <w:abstractNumId w:val="10"/>
  </w:num>
  <w:num w:numId="17">
    <w:abstractNumId w:val="33"/>
  </w:num>
  <w:num w:numId="18">
    <w:abstractNumId w:val="27"/>
  </w:num>
  <w:num w:numId="19">
    <w:abstractNumId w:val="4"/>
  </w:num>
  <w:num w:numId="20">
    <w:abstractNumId w:val="36"/>
  </w:num>
  <w:num w:numId="21">
    <w:abstractNumId w:val="20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0"/>
  </w:num>
  <w:num w:numId="31">
    <w:abstractNumId w:val="19"/>
  </w:num>
  <w:num w:numId="32">
    <w:abstractNumId w:val="12"/>
  </w:num>
  <w:num w:numId="33">
    <w:abstractNumId w:val="34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5"/>
  </w:num>
  <w:num w:numId="39">
    <w:abstractNumId w:val="21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07D7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D76A1"/>
    <w:rsid w:val="001E03AD"/>
    <w:rsid w:val="001E5D79"/>
    <w:rsid w:val="001E75CD"/>
    <w:rsid w:val="001E7CF1"/>
    <w:rsid w:val="001F4BD5"/>
    <w:rsid w:val="001F4C8C"/>
    <w:rsid w:val="001F5284"/>
    <w:rsid w:val="001F7814"/>
    <w:rsid w:val="0020098A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6DB4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090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47F8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31A7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2969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64F0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2F42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17E7"/>
    <w:rsid w:val="00754BCF"/>
    <w:rsid w:val="007558F6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2C52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22D"/>
    <w:rsid w:val="00814EF8"/>
    <w:rsid w:val="008154D3"/>
    <w:rsid w:val="0081621A"/>
    <w:rsid w:val="00816B8B"/>
    <w:rsid w:val="00817367"/>
    <w:rsid w:val="008201EE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39C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1E5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222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0CE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C40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C5F47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28A"/>
    <w:rsid w:val="00EC2ADF"/>
    <w:rsid w:val="00EC42AC"/>
    <w:rsid w:val="00EC5DCC"/>
    <w:rsid w:val="00EC70EF"/>
    <w:rsid w:val="00EC7C5E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82A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4393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88199-E18C-40B9-BD63-587CC200E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974</TotalTime>
  <Pages>3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41</cp:revision>
  <cp:lastPrinted>2022-04-29T05:15:00Z</cp:lastPrinted>
  <dcterms:created xsi:type="dcterms:W3CDTF">2022-03-22T07:37:00Z</dcterms:created>
  <dcterms:modified xsi:type="dcterms:W3CDTF">2022-05-04T05:10:00Z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