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</w:t>
      </w:r>
      <w:r w:rsidR="00070359">
        <w:rPr>
          <w:rFonts w:ascii="PT Astra Serif" w:hAnsi="PT Astra Serif"/>
          <w:b/>
          <w:bCs/>
        </w:rPr>
        <w:t>1</w:t>
      </w:r>
      <w:r w:rsidR="003F608B">
        <w:rPr>
          <w:rFonts w:ascii="PT Astra Serif" w:hAnsi="PT Astra Serif"/>
          <w:b/>
          <w:bCs/>
        </w:rPr>
        <w:t>3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357953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13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400B3A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3F608B">
        <w:rPr>
          <w:rFonts w:ascii="PT Astra Serif" w:hAnsi="PT Astra Serif"/>
        </w:rPr>
        <w:t>26</w:t>
      </w:r>
      <w:r w:rsidR="00BE6A23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04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3F608B">
        <w:rPr>
          <w:rFonts w:ascii="PT Astra Serif" w:hAnsi="PT Astra Serif"/>
        </w:rPr>
        <w:t>82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3F608B">
        <w:rPr>
          <w:rFonts w:ascii="PT Astra Serif" w:hAnsi="PT Astra Serif"/>
        </w:rPr>
        <w:t>ООО «Мария-Ра» (ОГРН 1022201763517)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3F608B">
        <w:rPr>
          <w:rFonts w:ascii="PT Astra Serif" w:hAnsi="PT Astra Serif"/>
        </w:rPr>
        <w:t>Алтайский край, г. Барнаул, ул. Мерзликина, д. 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43495F" w:rsidP="003F608B">
            <w:pPr>
              <w:pStyle w:val="af1"/>
            </w:pPr>
            <w:r w:rsidRPr="00400B3A">
              <w:t>70:</w:t>
            </w:r>
            <w:r w:rsidR="003F608B">
              <w:t>09</w:t>
            </w:r>
            <w:r w:rsidRPr="00400B3A">
              <w:t>:</w:t>
            </w:r>
            <w:r w:rsidR="003F608B">
              <w:t>0101003</w:t>
            </w:r>
            <w:r w:rsidRPr="00400B3A">
              <w:t>:</w:t>
            </w:r>
            <w:r w:rsidR="003F608B">
              <w:t>1244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3F608B" w:rsidP="00A87EB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р-н Кривошеинский, с. Кривошеино, ул. Кирова, д. 3</w:t>
            </w:r>
          </w:p>
        </w:tc>
      </w:tr>
    </w:tbl>
    <w:p w:rsidR="00F565B9" w:rsidRPr="00400B3A" w:rsidRDefault="007F4EF6" w:rsidP="006462D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3F608B">
        <w:rPr>
          <w:rFonts w:ascii="PT Astra Serif" w:hAnsi="PT Astra Serif"/>
        </w:rPr>
        <w:t>4 390 000</w:t>
      </w:r>
      <w:r w:rsidR="0043495F" w:rsidRPr="00400B3A">
        <w:rPr>
          <w:rFonts w:ascii="PT Astra Serif" w:hAnsi="PT Astra Serif"/>
        </w:rPr>
        <w:t xml:space="preserve"> (</w:t>
      </w:r>
      <w:r w:rsidR="00DA4881">
        <w:rPr>
          <w:rFonts w:ascii="PT Astra Serif" w:hAnsi="PT Astra Serif"/>
        </w:rPr>
        <w:t>четыре</w:t>
      </w:r>
      <w:r w:rsidR="0043495F" w:rsidRPr="00400B3A">
        <w:rPr>
          <w:rFonts w:ascii="PT Astra Serif" w:hAnsi="PT Astra Serif"/>
        </w:rPr>
        <w:t xml:space="preserve"> миллион</w:t>
      </w:r>
      <w:r w:rsidR="00DA4881">
        <w:rPr>
          <w:rFonts w:ascii="PT Astra Serif" w:hAnsi="PT Astra Serif"/>
        </w:rPr>
        <w:t>а</w:t>
      </w:r>
      <w:r w:rsidR="0043495F" w:rsidRPr="00400B3A">
        <w:rPr>
          <w:rFonts w:ascii="PT Astra Serif" w:hAnsi="PT Astra Serif"/>
        </w:rPr>
        <w:t xml:space="preserve"> </w:t>
      </w:r>
      <w:r w:rsidR="00DA4881">
        <w:rPr>
          <w:rFonts w:ascii="PT Astra Serif" w:hAnsi="PT Astra Serif"/>
        </w:rPr>
        <w:t>триста девяносто</w:t>
      </w:r>
      <w:r w:rsidR="00070359">
        <w:rPr>
          <w:rFonts w:ascii="PT Astra Serif" w:hAnsi="PT Astra Serif"/>
        </w:rPr>
        <w:t xml:space="preserve"> </w:t>
      </w:r>
      <w:r w:rsidR="0043495F" w:rsidRPr="00400B3A">
        <w:rPr>
          <w:rFonts w:ascii="PT Astra Serif" w:hAnsi="PT Astra Serif"/>
        </w:rPr>
        <w:t>тысяч</w:t>
      </w:r>
      <w:r w:rsidR="0001527F">
        <w:rPr>
          <w:rFonts w:ascii="PT Astra Serif" w:hAnsi="PT Astra Serif"/>
        </w:rPr>
        <w:t>) рубл</w:t>
      </w:r>
      <w:r w:rsidR="00A87EBE">
        <w:rPr>
          <w:rFonts w:ascii="PT Astra Serif" w:hAnsi="PT Astra Serif"/>
        </w:rPr>
        <w:t>ей</w:t>
      </w:r>
      <w:r w:rsidR="0043495F" w:rsidRPr="00400B3A">
        <w:rPr>
          <w:rFonts w:ascii="PT Astra Serif" w:hAnsi="PT Astra Serif"/>
        </w:rPr>
        <w:t xml:space="preserve">, определенной по состоянию на </w:t>
      </w:r>
      <w:r w:rsidR="003F608B">
        <w:rPr>
          <w:rFonts w:ascii="PT Astra Serif" w:hAnsi="PT Astra Serif"/>
        </w:rPr>
        <w:t>10</w:t>
      </w:r>
      <w:r w:rsidR="0043495F" w:rsidRPr="00400B3A">
        <w:rPr>
          <w:rFonts w:ascii="PT Astra Serif" w:hAnsi="PT Astra Serif"/>
        </w:rPr>
        <w:t>.</w:t>
      </w:r>
      <w:r w:rsidR="003F608B">
        <w:rPr>
          <w:rFonts w:ascii="PT Astra Serif" w:hAnsi="PT Astra Serif"/>
        </w:rPr>
        <w:t>10</w:t>
      </w:r>
      <w:r w:rsidR="00F1396D">
        <w:rPr>
          <w:rFonts w:ascii="PT Astra Serif" w:hAnsi="PT Astra Serif"/>
        </w:rPr>
        <w:t>.2019</w:t>
      </w:r>
      <w:r w:rsidR="0043495F" w:rsidRPr="00400B3A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F608B" w:rsidRPr="00400B3A" w:rsidTr="00EF3D77">
        <w:tc>
          <w:tcPr>
            <w:tcW w:w="2981" w:type="dxa"/>
            <w:shd w:val="clear" w:color="auto" w:fill="auto"/>
          </w:tcPr>
          <w:p w:rsidR="003F608B" w:rsidRPr="00742192" w:rsidRDefault="003F608B" w:rsidP="003F608B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3F608B" w:rsidRPr="00742192" w:rsidRDefault="003F608B" w:rsidP="003F608B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F608B" w:rsidRPr="00742192" w:rsidRDefault="003F608B" w:rsidP="003F608B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Свидетельство от 22.07.2020 № 0002510, номер в реестре 008873</w:t>
            </w:r>
            <w:r>
              <w:rPr>
                <w:rFonts w:ascii="PT Astra Serif" w:hAnsi="PT Astra Serif"/>
              </w:rPr>
              <w:t>, дата включения в реестр 24.01.2014</w:t>
            </w:r>
          </w:p>
        </w:tc>
      </w:tr>
    </w:tbl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lastRenderedPageBreak/>
        <w:t>В результате рассмотрения заявления установлено:</w:t>
      </w:r>
    </w:p>
    <w:p w:rsidR="003F608B" w:rsidRDefault="003F608B" w:rsidP="003F608B">
      <w:pPr>
        <w:pStyle w:val="aff0"/>
        <w:numPr>
          <w:ilvl w:val="1"/>
          <w:numId w:val="16"/>
        </w:numPr>
        <w:tabs>
          <w:tab w:val="clear" w:pos="786"/>
        </w:tabs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446017">
        <w:rPr>
          <w:rFonts w:ascii="PT Astra Serif" w:hAnsi="PT Astra Serif"/>
          <w:bCs/>
          <w:sz w:val="24"/>
          <w:szCs w:val="24"/>
        </w:rPr>
        <w:t xml:space="preserve">При расчете стоимости объекта оценки </w:t>
      </w:r>
      <w:r>
        <w:rPr>
          <w:rFonts w:ascii="PT Astra Serif" w:hAnsi="PT Astra Serif"/>
          <w:bCs/>
          <w:sz w:val="24"/>
          <w:szCs w:val="24"/>
        </w:rPr>
        <w:t>в рамках сравнительного подхода</w:t>
      </w:r>
      <w:r w:rsidRPr="00E765A8">
        <w:rPr>
          <w:rFonts w:ascii="PT Astra Serif" w:hAnsi="PT Astra Serif"/>
          <w:bCs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 xml:space="preserve">в качестве объекта-аналога №2 Оценщик использует нежилое здание (кафе), расположенное по адресу: с. Первомайское, ул. Ленинская, 101/11. При этом, в расчетной таблице 4.2.1 на стр. 56 Отчета общая площадь здания, принимаемая Оценщиком, составляет 440 кв.м. </w:t>
      </w:r>
    </w:p>
    <w:p w:rsidR="003F608B" w:rsidRDefault="003F608B" w:rsidP="003F608B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8D0945">
        <w:rPr>
          <w:rFonts w:ascii="PT Astra Serif" w:hAnsi="PT Astra Serif"/>
          <w:bCs/>
          <w:sz w:val="24"/>
          <w:szCs w:val="24"/>
        </w:rPr>
        <w:t>Од</w:t>
      </w:r>
      <w:r>
        <w:rPr>
          <w:rFonts w:ascii="PT Astra Serif" w:hAnsi="PT Astra Serif"/>
          <w:bCs/>
          <w:sz w:val="24"/>
          <w:szCs w:val="24"/>
        </w:rPr>
        <w:t>нако, величина 440,0 кв.м. является общей площадью земельного участка, а не площадью здания, расположенного на нем, что подтверждается информацией в объявлении о продаже (скриншот представлен на стр. 67 Отчета), а также информацией с сайта «ЕГРП 365».</w:t>
      </w:r>
    </w:p>
    <w:p w:rsidR="003F608B" w:rsidRDefault="003F608B" w:rsidP="003F608B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Таким образом, количественные характеристики здания объекта-аналога №2, используемые Оценщиком в расчетах не подтверждены и не соответствуют действительности, что влечет за собой искажение итоговой рыночной стоимости объекта оценки и нарушение </w:t>
      </w:r>
      <w:r w:rsidRPr="00B33A3C">
        <w:rPr>
          <w:rFonts w:ascii="PT Astra Serif" w:hAnsi="PT Astra Serif"/>
          <w:bCs/>
          <w:sz w:val="24"/>
          <w:szCs w:val="24"/>
        </w:rPr>
        <w:t xml:space="preserve">требований </w:t>
      </w:r>
      <w:r w:rsidRPr="0052421F"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PT Astra Serif" w:hAnsi="PT Astra Serif"/>
          <w:bCs/>
          <w:sz w:val="24"/>
          <w:szCs w:val="24"/>
        </w:rPr>
        <w:t>.</w:t>
      </w:r>
    </w:p>
    <w:p w:rsidR="003F608B" w:rsidRDefault="003F608B" w:rsidP="003F608B">
      <w:pPr>
        <w:pStyle w:val="aff0"/>
        <w:numPr>
          <w:ilvl w:val="1"/>
          <w:numId w:val="16"/>
        </w:numPr>
        <w:tabs>
          <w:tab w:val="clear" w:pos="786"/>
        </w:tabs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Объект оценки представляет собой отдельно стоящее здание, торговые помещения которого расположены только на 1 этаже.</w:t>
      </w:r>
    </w:p>
    <w:p w:rsidR="003F608B" w:rsidRDefault="003F608B" w:rsidP="003F608B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Помещения объекта-аналога №2 (с. Первомайское, ул. Ленинская, 101/11) расположены на 1 и 2 этажах здания.</w:t>
      </w:r>
    </w:p>
    <w:p w:rsidR="003F608B" w:rsidRDefault="003F608B" w:rsidP="003F608B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Помещения объекта-аналога №3 (кадастровый номер указан Оценщиком в таблице 4.2.1 на стр. 50 Отчета) также расположены на 1 и 2 этажах. </w:t>
      </w:r>
    </w:p>
    <w:p w:rsidR="003F608B" w:rsidRDefault="003F608B" w:rsidP="003F608B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При этом, в расчетной таблице 4.2.1 на стр. 56 Отчета, корректирующие коэффициенты «на этажность» зданий отсутствуют.</w:t>
      </w:r>
    </w:p>
    <w:p w:rsidR="003F608B" w:rsidRDefault="003F608B" w:rsidP="003F608B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Вместе с тем, согласно «Справочника оценщика недвижимости – 2018» под ред. Лейфера Л.А., на который ссылается Оценщик в Отчете, стоимость помещений, расположенных на 2 этаже и выше, обычно ниже стоимости помещений на первом этаже. Это связано с тем, что 1 этаж является наиболее предпочтительным с точки зрения доступа во внутренние помещения посетителей, и, как следствие, стоимость помещений, расположенных на 1 этаже больше, чем стоимость аналогичных помещений на более высоких этажах.</w:t>
      </w:r>
    </w:p>
    <w:p w:rsidR="003F608B" w:rsidRDefault="003F608B" w:rsidP="003F608B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i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Таким образом, отсутствие повышающих корректирующих коэффициентов к стоимости объектов-аналогов, помещения которых имеют расположение на 2 этаже, приводит к занижению стоимости объекта оценки и нарушению </w:t>
      </w:r>
      <w:r w:rsidRPr="00066783">
        <w:rPr>
          <w:rFonts w:ascii="PT Astra Serif" w:hAnsi="PT Astra Serif"/>
          <w:b/>
          <w:bCs/>
          <w:sz w:val="24"/>
          <w:szCs w:val="24"/>
        </w:rPr>
        <w:t>п. 5 ФСО №3</w:t>
      </w:r>
      <w:r>
        <w:rPr>
          <w:rFonts w:ascii="PT Astra Serif" w:hAnsi="PT Astra Serif"/>
          <w:bCs/>
          <w:i/>
          <w:sz w:val="24"/>
          <w:szCs w:val="24"/>
        </w:rPr>
        <w:t>.</w:t>
      </w:r>
    </w:p>
    <w:p w:rsidR="003F608B" w:rsidRPr="00934514" w:rsidRDefault="003F608B" w:rsidP="003F608B">
      <w:pPr>
        <w:pStyle w:val="aff0"/>
        <w:numPr>
          <w:ilvl w:val="1"/>
          <w:numId w:val="16"/>
        </w:numPr>
        <w:tabs>
          <w:tab w:val="clear" w:pos="786"/>
        </w:tabs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934514">
        <w:rPr>
          <w:rFonts w:ascii="PT Astra Serif" w:hAnsi="PT Astra Serif"/>
          <w:bCs/>
          <w:sz w:val="24"/>
          <w:szCs w:val="24"/>
        </w:rPr>
        <w:t>Объект оценки представляет собой современное здание</w:t>
      </w:r>
      <w:r>
        <w:rPr>
          <w:rFonts w:ascii="PT Astra Serif" w:hAnsi="PT Astra Serif"/>
          <w:bCs/>
          <w:sz w:val="24"/>
          <w:szCs w:val="24"/>
        </w:rPr>
        <w:t xml:space="preserve"> </w:t>
      </w:r>
      <w:r w:rsidRPr="00934514">
        <w:rPr>
          <w:rFonts w:ascii="PT Astra Serif" w:hAnsi="PT Astra Serif"/>
          <w:bCs/>
          <w:sz w:val="24"/>
          <w:szCs w:val="24"/>
        </w:rPr>
        <w:t>торгового назначения, построенное в 2012 году</w:t>
      </w:r>
      <w:r>
        <w:rPr>
          <w:rFonts w:ascii="PT Astra Serif" w:hAnsi="PT Astra Serif"/>
          <w:bCs/>
          <w:sz w:val="24"/>
          <w:szCs w:val="24"/>
        </w:rPr>
        <w:t>. При определении его стоимости, Оценщик использует в качестве аналога №1 нежилое здание 1977 года постройки с устаревшим конструктивным и планировочным решением и соответствующим физическим износом. При этом, отсутствие повышающего корректирующего коэффициента на «техническое состояние здания» к стоимости объекта-аналога №1 не отражает действительной разницы между данным зданием, построенным в 1977 году и зданием объекта оценки, построенным в 2012 году.</w:t>
      </w:r>
    </w:p>
    <w:p w:rsidR="003F608B" w:rsidRDefault="003F608B" w:rsidP="003F608B">
      <w:pPr>
        <w:pStyle w:val="aff0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PT Astra Serif" w:hAnsi="PT Astra Serif"/>
          <w:bCs/>
          <w:sz w:val="24"/>
          <w:szCs w:val="24"/>
        </w:rPr>
        <w:t>Тем самым, О</w:t>
      </w:r>
      <w:r w:rsidRPr="00A42416">
        <w:rPr>
          <w:rFonts w:ascii="PT Astra Serif" w:hAnsi="PT Astra Serif"/>
          <w:bCs/>
          <w:sz w:val="24"/>
          <w:szCs w:val="24"/>
        </w:rPr>
        <w:t>ценщиком наруш</w:t>
      </w:r>
      <w:r>
        <w:rPr>
          <w:rFonts w:ascii="PT Astra Serif" w:hAnsi="PT Astra Serif"/>
          <w:bCs/>
          <w:sz w:val="24"/>
          <w:szCs w:val="24"/>
        </w:rPr>
        <w:t>ено</w:t>
      </w:r>
      <w:r w:rsidRPr="00A42416">
        <w:rPr>
          <w:rFonts w:ascii="PT Astra Serif" w:hAnsi="PT Astra Serif"/>
          <w:bCs/>
          <w:sz w:val="24"/>
          <w:szCs w:val="24"/>
        </w:rPr>
        <w:t xml:space="preserve"> требование </w:t>
      </w:r>
      <w:r w:rsidRPr="00A42416">
        <w:rPr>
          <w:rFonts w:ascii="Times New Roman" w:hAnsi="Times New Roman"/>
          <w:b/>
          <w:sz w:val="24"/>
          <w:szCs w:val="24"/>
          <w:lang w:eastAsia="ru-RU"/>
        </w:rPr>
        <w:t>п. 5 ФСО №3</w:t>
      </w:r>
      <w:r>
        <w:rPr>
          <w:rFonts w:ascii="Times New Roman" w:hAnsi="Times New Roman"/>
          <w:sz w:val="24"/>
          <w:szCs w:val="24"/>
          <w:lang w:eastAsia="ru-RU"/>
        </w:rPr>
        <w:t>, что приводит к занижению стоимости объекта оценки.</w:t>
      </w:r>
    </w:p>
    <w:p w:rsidR="003F608B" w:rsidRPr="003F608B" w:rsidRDefault="003F608B" w:rsidP="003F608B">
      <w:pPr>
        <w:pStyle w:val="aff0"/>
        <w:numPr>
          <w:ilvl w:val="0"/>
          <w:numId w:val="37"/>
        </w:numPr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Н</w:t>
      </w:r>
      <w:r w:rsidRPr="003F608B">
        <w:rPr>
          <w:rFonts w:ascii="PT Astra Serif" w:hAnsi="PT Astra Serif"/>
          <w:bCs/>
          <w:sz w:val="24"/>
          <w:szCs w:val="24"/>
        </w:rPr>
        <w:t xml:space="preserve">а стр. 51, 52 Отчета Оценщик приводит ссылки на источник используемых поправочных коэффициентов: «Справочник оценщика недвижимости – 2018. Производственно-складская недвижимость и сходные типы объектов. Корректирующие коэффициенты. Скидки для сравнительного подхода». </w:t>
      </w:r>
    </w:p>
    <w:p w:rsidR="005C1CD1" w:rsidRPr="00400B3A" w:rsidRDefault="003F608B" w:rsidP="003F608B">
      <w:pPr>
        <w:pStyle w:val="aff0"/>
        <w:spacing w:after="0" w:line="240" w:lineRule="auto"/>
        <w:ind w:left="0" w:firstLine="360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  <w:sz w:val="24"/>
          <w:szCs w:val="24"/>
        </w:rPr>
        <w:t xml:space="preserve">При этом, ссылки на номера страниц и таблиц являются неактуальными, так как информация, используемая Оценщиком в расчетных таблицах, относится к объектам торгово-офисного назначения. Тем самым нарушены требования </w:t>
      </w:r>
      <w:r w:rsidRPr="00A42416">
        <w:rPr>
          <w:rFonts w:ascii="Times New Roman" w:hAnsi="Times New Roman"/>
          <w:b/>
          <w:sz w:val="24"/>
          <w:szCs w:val="24"/>
          <w:lang w:eastAsia="ru-RU"/>
        </w:rPr>
        <w:t>п. 5 ФСО №3</w:t>
      </w:r>
      <w:r>
        <w:rPr>
          <w:b/>
        </w:rPr>
        <w:t>.</w:t>
      </w:r>
      <w:r w:rsidR="005C1CD1" w:rsidRPr="00400B3A">
        <w:rPr>
          <w:rFonts w:ascii="PT Astra Serif" w:hAnsi="PT Astra Serif"/>
        </w:rPr>
        <w:tab/>
      </w: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         Комиссией принято РЕШЕНИЕ: </w:t>
      </w:r>
    </w:p>
    <w:p w:rsidR="003F608B" w:rsidRDefault="003F608B" w:rsidP="003F608B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67788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Pr="003F608B">
        <w:rPr>
          <w:rFonts w:ascii="PT Astra Serif" w:hAnsi="PT Astra Serif"/>
        </w:rPr>
        <w:t xml:space="preserve">ООО «Мария-Ра» </w:t>
      </w:r>
      <w:r w:rsidRPr="00B67788">
        <w:rPr>
          <w:rFonts w:ascii="PT Astra Serif" w:hAnsi="PT Astra Serif"/>
        </w:rPr>
        <w:t xml:space="preserve">об оспаривании кадастровой стоимости объекта недвижимости с кадастровым номером </w:t>
      </w:r>
      <w:r w:rsidRPr="003F608B">
        <w:rPr>
          <w:rFonts w:ascii="PT Astra Serif" w:hAnsi="PT Astra Serif"/>
        </w:rPr>
        <w:t>70:09:0101003:1244</w:t>
      </w:r>
      <w:r w:rsidRPr="00B67788">
        <w:rPr>
          <w:rFonts w:ascii="PT Astra Serif" w:hAnsi="PT Astra Serif"/>
        </w:rPr>
        <w:t>, расположенного по адресу:</w:t>
      </w:r>
      <w:r>
        <w:rPr>
          <w:rFonts w:ascii="PT Astra Serif" w:hAnsi="PT Astra Serif"/>
        </w:rPr>
        <w:t xml:space="preserve"> Томская область, р-н Кривошеинский, с. Кривошеино, ул. Кирова, д. 3.</w:t>
      </w:r>
    </w:p>
    <w:p w:rsidR="003F608B" w:rsidRPr="00400B3A" w:rsidRDefault="003F608B" w:rsidP="003F608B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400B3A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lastRenderedPageBreak/>
        <w:t>Результаты голосования за принятое решение: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Малиновская Елена Юрьевна – за;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Лиманская Наталья Викторовна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Мельникова Екатерина Феликсовна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4DB" w:rsidRDefault="009364DB">
      <w:r>
        <w:separator/>
      </w:r>
    </w:p>
  </w:endnote>
  <w:endnote w:type="continuationSeparator" w:id="0">
    <w:p w:rsidR="009364DB" w:rsidRDefault="00936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4DB" w:rsidRDefault="009364DB">
      <w:r>
        <w:separator/>
      </w:r>
    </w:p>
  </w:footnote>
  <w:footnote w:type="continuationSeparator" w:id="0">
    <w:p w:rsidR="009364DB" w:rsidRDefault="00936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7602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364DB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17860-3508-4645-88D2-B4DAC2A63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1066</TotalTime>
  <Pages>3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38</cp:revision>
  <cp:lastPrinted>2022-05-20T09:27:00Z</cp:lastPrinted>
  <dcterms:created xsi:type="dcterms:W3CDTF">2022-03-22T07:37:00Z</dcterms:created>
  <dcterms:modified xsi:type="dcterms:W3CDTF">2022-05-23T07:12:00Z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