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400B3A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00B3A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400B3A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400B3A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400B3A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400B3A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>Кирова пр., д. 20, г.Томск, 634034</w:t>
            </w: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 xml:space="preserve">тел. (3822) </w:t>
            </w:r>
            <w:r w:rsidR="00D01989" w:rsidRPr="00400B3A">
              <w:rPr>
                <w:rFonts w:ascii="PT Astra Serif" w:hAnsi="PT Astra Serif"/>
                <w:sz w:val="14"/>
              </w:rPr>
              <w:t>732-7</w:t>
            </w:r>
            <w:r w:rsidRPr="00400B3A">
              <w:rPr>
                <w:rFonts w:ascii="PT Astra Serif" w:hAnsi="PT Astra Serif"/>
                <w:sz w:val="14"/>
              </w:rPr>
              <w:t>00, факс (3822) 435-424</w:t>
            </w: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>E-mail: dugsto@</w:t>
            </w:r>
            <w:r w:rsidR="00037C58" w:rsidRPr="00400B3A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 w:rsidRPr="00400B3A">
              <w:rPr>
                <w:rFonts w:ascii="PT Astra Serif" w:hAnsi="PT Astra Serif"/>
                <w:sz w:val="14"/>
                <w:lang w:val="en-US"/>
              </w:rPr>
              <w:t>ov</w:t>
            </w:r>
            <w:r w:rsidR="00341C85" w:rsidRPr="00400B3A">
              <w:rPr>
                <w:rFonts w:ascii="PT Astra Serif" w:hAnsi="PT Astra Serif"/>
                <w:sz w:val="14"/>
              </w:rPr>
              <w:t>70</w:t>
            </w:r>
            <w:r w:rsidRPr="00400B3A">
              <w:rPr>
                <w:rFonts w:ascii="PT Astra Serif" w:hAnsi="PT Astra Serif"/>
                <w:sz w:val="14"/>
              </w:rPr>
              <w:t>.ru</w:t>
            </w:r>
          </w:p>
          <w:p w:rsidR="00D700DD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400B3A">
              <w:rPr>
                <w:rFonts w:ascii="PT Astra Serif" w:hAnsi="PT Astra Serif"/>
                <w:sz w:val="14"/>
              </w:rPr>
              <w:t xml:space="preserve">7017018464/701701001, </w:t>
            </w:r>
            <w:r w:rsidRPr="00400B3A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400B3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00B3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171FC8">
        <w:rPr>
          <w:rFonts w:ascii="PT Astra Serif" w:hAnsi="PT Astra Serif"/>
          <w:b/>
          <w:bCs/>
        </w:rPr>
        <w:t>2</w:t>
      </w:r>
      <w:r w:rsidR="00BD0BAC">
        <w:rPr>
          <w:rFonts w:ascii="PT Astra Serif" w:hAnsi="PT Astra Serif"/>
          <w:b/>
          <w:bCs/>
        </w:rPr>
        <w:t>2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BD0B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D23FC4" w:rsidP="0029561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400B3A" w:rsidTr="000D3D77">
        <w:tc>
          <w:tcPr>
            <w:tcW w:w="3098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заместитель руководителя Управления Росреестра по Томской области</w:t>
            </w:r>
          </w:p>
        </w:tc>
      </w:tr>
      <w:tr w:rsidR="00BD0BAC" w:rsidRPr="00400B3A" w:rsidTr="000D3D77">
        <w:tc>
          <w:tcPr>
            <w:tcW w:w="3098" w:type="dxa"/>
            <w:gridSpan w:val="2"/>
            <w:shd w:val="clear" w:color="auto" w:fill="auto"/>
          </w:tcPr>
          <w:p w:rsidR="00BD0BAC" w:rsidRPr="00B360DE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B360DE" w:rsidRDefault="00BD0BAC" w:rsidP="00BD0BAC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B360DE" w:rsidRDefault="00BD0BAC" w:rsidP="00BD0BAC">
            <w:pPr>
              <w:pStyle w:val="af1"/>
            </w:pPr>
          </w:p>
        </w:tc>
      </w:tr>
      <w:tr w:rsidR="00BD0BAC" w:rsidRPr="00400B3A" w:rsidTr="000D3D77">
        <w:tc>
          <w:tcPr>
            <w:tcW w:w="2968" w:type="dxa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Default="00736B16" w:rsidP="00A32712">
      <w:pPr>
        <w:ind w:firstLine="709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BD0BAC">
        <w:rPr>
          <w:rFonts w:ascii="PT Astra Serif" w:hAnsi="PT Astra Serif"/>
        </w:rPr>
        <w:t>13</w:t>
      </w:r>
      <w:r w:rsidR="00BE6A23" w:rsidRPr="00400B3A">
        <w:rPr>
          <w:rFonts w:ascii="PT Astra Serif" w:hAnsi="PT Astra Serif"/>
        </w:rPr>
        <w:t>.</w:t>
      </w:r>
      <w:r w:rsidR="00A93F6A">
        <w:rPr>
          <w:rFonts w:ascii="PT Astra Serif" w:hAnsi="PT Astra Serif"/>
        </w:rPr>
        <w:t>05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BD0BAC">
        <w:rPr>
          <w:rFonts w:ascii="PT Astra Serif" w:hAnsi="PT Astra Serif"/>
        </w:rPr>
        <w:t>90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4860AF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4860AF">
        <w:rPr>
          <w:rFonts w:ascii="PT Astra Serif" w:hAnsi="PT Astra Serif"/>
        </w:rPr>
        <w:t>ХХХ</w:t>
      </w:r>
    </w:p>
    <w:p w:rsidR="00C1006D" w:rsidRPr="00400B3A" w:rsidRDefault="00C1006D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BD0BAC" w:rsidP="003F608B">
            <w:pPr>
              <w:pStyle w:val="af1"/>
            </w:pPr>
            <w:r w:rsidRPr="00B360DE">
              <w:t>70:21:</w:t>
            </w:r>
            <w:r>
              <w:t>0100024</w:t>
            </w:r>
            <w:r w:rsidRPr="00B360DE">
              <w:t>:</w:t>
            </w:r>
            <w:r>
              <w:t>1171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BD0BAC" w:rsidP="00A87EBE">
            <w:pPr>
              <w:jc w:val="both"/>
              <w:rPr>
                <w:rFonts w:ascii="PT Astra Serif" w:hAnsi="PT Astra Serif"/>
              </w:rPr>
            </w:pPr>
            <w:r w:rsidRPr="00B360DE">
              <w:rPr>
                <w:rFonts w:ascii="PT Astra Serif" w:hAnsi="PT Astra Serif"/>
              </w:rPr>
              <w:t xml:space="preserve">Российская Федерация, Томская область, </w:t>
            </w:r>
            <w:r>
              <w:rPr>
                <w:rFonts w:ascii="PT Astra Serif" w:hAnsi="PT Astra Serif"/>
              </w:rPr>
              <w:t>г. Томск, ул. Большая Подгорная, д. 164</w:t>
            </w:r>
          </w:p>
        </w:tc>
      </w:tr>
    </w:tbl>
    <w:p w:rsidR="00C1006D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BD0BAC">
        <w:rPr>
          <w:rFonts w:ascii="PT Astra Serif" w:hAnsi="PT Astra Serif"/>
        </w:rPr>
        <w:t>12 060 000</w:t>
      </w:r>
      <w:r w:rsidR="00BD0BAC" w:rsidRPr="00B360DE">
        <w:rPr>
          <w:rFonts w:ascii="PT Astra Serif" w:hAnsi="PT Astra Serif"/>
        </w:rPr>
        <w:t xml:space="preserve"> (</w:t>
      </w:r>
      <w:r w:rsidR="00BD0BAC">
        <w:rPr>
          <w:rFonts w:ascii="PT Astra Serif" w:hAnsi="PT Astra Serif"/>
        </w:rPr>
        <w:t>двенадцать миллионов шестьдесят</w:t>
      </w:r>
      <w:r w:rsidR="00BD0BAC" w:rsidRPr="00B360DE">
        <w:rPr>
          <w:rFonts w:ascii="PT Astra Serif" w:hAnsi="PT Astra Serif"/>
        </w:rPr>
        <w:t xml:space="preserve"> тысяч) рублей, определенной по состоянию на </w:t>
      </w:r>
      <w:r w:rsidR="00BD0BAC">
        <w:rPr>
          <w:rFonts w:ascii="PT Astra Serif" w:hAnsi="PT Astra Serif"/>
        </w:rPr>
        <w:t>01</w:t>
      </w:r>
      <w:r w:rsidR="00BD0BAC" w:rsidRPr="00B360DE">
        <w:rPr>
          <w:rFonts w:ascii="PT Astra Serif" w:hAnsi="PT Astra Serif"/>
        </w:rPr>
        <w:t>.</w:t>
      </w:r>
      <w:r w:rsidR="00BD0BAC">
        <w:rPr>
          <w:rFonts w:ascii="PT Astra Serif" w:hAnsi="PT Astra Serif"/>
        </w:rPr>
        <w:t>01.2019</w:t>
      </w:r>
      <w:r w:rsidR="00BD0BAC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C1006D" w:rsidRPr="00400B3A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93F6A" w:rsidRPr="00400B3A" w:rsidTr="00EF3D77">
        <w:tc>
          <w:tcPr>
            <w:tcW w:w="2981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Свидетельство от 22.07.2020 № 0002510, номер в реестре 008873</w:t>
            </w:r>
            <w:r>
              <w:rPr>
                <w:rFonts w:ascii="PT Astra Serif" w:hAnsi="PT Astra Serif"/>
              </w:rPr>
              <w:t>, дата включения в реестр 24.01.2014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BD0BAC" w:rsidRDefault="00BD0BAC" w:rsidP="00BD0BAC">
      <w:pPr>
        <w:numPr>
          <w:ilvl w:val="0"/>
          <w:numId w:val="42"/>
        </w:numPr>
        <w:ind w:left="0"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</w:t>
      </w:r>
      <w:r w:rsidRPr="00446017">
        <w:rPr>
          <w:rFonts w:ascii="PT Astra Serif" w:hAnsi="PT Astra Serif"/>
          <w:bCs/>
        </w:rPr>
        <w:t xml:space="preserve">и расчете стоимости объекта оценки </w:t>
      </w:r>
      <w:r>
        <w:rPr>
          <w:rFonts w:ascii="PT Astra Serif" w:hAnsi="PT Astra Serif"/>
          <w:bCs/>
        </w:rPr>
        <w:t>в рамках сравнительного подхода</w:t>
      </w:r>
      <w:r w:rsidRPr="00E765A8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в качестве объекта-аналога №1 Оценщик использует нежилое здание, расположенное по адресу: </w:t>
      </w:r>
      <w:r>
        <w:rPr>
          <w:rFonts w:ascii="PT Astra Serif" w:hAnsi="PT Astra Serif"/>
          <w:bCs/>
        </w:rPr>
        <w:br/>
        <w:t xml:space="preserve">г. Томск, пр. Ленина, 230а. При этом, в расчетной таблице 4.2.2 на стр. 51 Отчета общая площадь здания, принимаемая Оценщиком, составляет 112,0 кв.м.(в соответствии со скриншотом предложения на стр. 68 Отчета).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 w:rsidRPr="00CE2610">
        <w:rPr>
          <w:rFonts w:ascii="PT Astra Serif" w:hAnsi="PT Astra Serif"/>
          <w:bCs/>
        </w:rPr>
        <w:t xml:space="preserve">Однако, </w:t>
      </w:r>
      <w:r>
        <w:rPr>
          <w:rFonts w:ascii="PT Astra Serif" w:hAnsi="PT Astra Serif"/>
          <w:bCs/>
        </w:rPr>
        <w:t xml:space="preserve">в соответствии с данными Публичной кадастровой карты, площадь здания, расположенного по адресу: пр. Ленина, 230а составляет 103,4 кв.м.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Аналогичная ситуация с объектом-аналогом №2 (г. Томск, ул. Транспортная, 6а), используемого Оценщиком в рамках сравнительного подхода. В расчетной таблице 4.2.2 на стр. 51 Отчета общая площадь здания, принимаемая Оценщиком, составляет 380,0 кв.м.(в соответствии со скриншотом предложения на стр. 70 Отчета). Вместе с тем, в соответствии с информацией, представленной на Публичной кадастровой карте, площадь данного здания, составляет 288,2 кв.м.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Величина общей площади, являясь одним из основных ценообразующих факторов, оказывает значительное влияние на размер удельной рыночной стоимости объекта-аналога, а, следовательно, и на рыночную стоимость объекта оценки.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Таким образом, количественные характеристики зданий объектов-аналогов №1 и №2, используемые Оценщиком в расчетах, не соответствуют действительности, что влечет за собой искажение итоговой рыночной стоимости объекта оценки в меньшую сторону и нарушение </w:t>
      </w:r>
      <w:r w:rsidRPr="00B33A3C">
        <w:rPr>
          <w:rFonts w:ascii="PT Astra Serif" w:hAnsi="PT Astra Serif"/>
          <w:bCs/>
        </w:rPr>
        <w:t xml:space="preserve">требований </w:t>
      </w:r>
      <w:r w:rsidRPr="0052421F">
        <w:rPr>
          <w:rFonts w:ascii="PT Astra Serif" w:hAnsi="PT Astra Serif"/>
          <w:b/>
          <w:bCs/>
        </w:rPr>
        <w:t>п. 5 ФСО №3</w:t>
      </w:r>
      <w:r>
        <w:rPr>
          <w:rFonts w:ascii="PT Astra Serif" w:hAnsi="PT Astra Serif"/>
          <w:bCs/>
        </w:rPr>
        <w:t>.</w:t>
      </w:r>
    </w:p>
    <w:p w:rsidR="00BD0BAC" w:rsidRPr="00A364D8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2. </w:t>
      </w:r>
      <w:r w:rsidRPr="00A364D8">
        <w:rPr>
          <w:rFonts w:ascii="PT Astra Serif" w:hAnsi="PT Astra Serif"/>
          <w:bCs/>
        </w:rPr>
        <w:t>Объект оценки представляет собой современное здание торговог</w:t>
      </w:r>
      <w:r>
        <w:rPr>
          <w:rFonts w:ascii="PT Astra Serif" w:hAnsi="PT Astra Serif"/>
          <w:bCs/>
        </w:rPr>
        <w:t>о назначения, построенное в 2016</w:t>
      </w:r>
      <w:r w:rsidRPr="00A364D8">
        <w:rPr>
          <w:rFonts w:ascii="PT Astra Serif" w:hAnsi="PT Astra Serif"/>
          <w:bCs/>
        </w:rPr>
        <w:t xml:space="preserve"> году. При определении его стоимости</w:t>
      </w:r>
      <w:r>
        <w:rPr>
          <w:rFonts w:ascii="PT Astra Serif" w:hAnsi="PT Astra Serif"/>
          <w:bCs/>
        </w:rPr>
        <w:t xml:space="preserve"> в рамках сравнительного подхода</w:t>
      </w:r>
      <w:r w:rsidRPr="00A364D8">
        <w:rPr>
          <w:rFonts w:ascii="PT Astra Serif" w:hAnsi="PT Astra Serif"/>
          <w:bCs/>
        </w:rPr>
        <w:t xml:space="preserve">, Оценщик </w:t>
      </w:r>
      <w:r>
        <w:rPr>
          <w:rFonts w:ascii="PT Astra Serif" w:hAnsi="PT Astra Serif"/>
          <w:bCs/>
        </w:rPr>
        <w:t>использует в качестве аналога №2</w:t>
      </w:r>
      <w:r w:rsidRPr="00A364D8">
        <w:rPr>
          <w:rFonts w:ascii="PT Astra Serif" w:hAnsi="PT Astra Serif"/>
          <w:bCs/>
        </w:rPr>
        <w:t xml:space="preserve"> нежилое здание 19</w:t>
      </w:r>
      <w:r>
        <w:rPr>
          <w:rFonts w:ascii="PT Astra Serif" w:hAnsi="PT Astra Serif"/>
          <w:bCs/>
        </w:rPr>
        <w:t>80</w:t>
      </w:r>
      <w:r w:rsidRPr="00A364D8">
        <w:rPr>
          <w:rFonts w:ascii="PT Astra Serif" w:hAnsi="PT Astra Serif"/>
          <w:bCs/>
        </w:rPr>
        <w:t xml:space="preserve"> года постройки с устаревшим конструктивным и планировочным решением и соответствующим физическим износом. При этом, </w:t>
      </w:r>
      <w:r>
        <w:rPr>
          <w:rFonts w:ascii="PT Astra Serif" w:hAnsi="PT Astra Serif"/>
          <w:bCs/>
        </w:rPr>
        <w:t xml:space="preserve">поправка на данное отличие между объектами в расчетной таблице на стр. 51 Отчета отсутствует. 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О</w:t>
      </w:r>
      <w:r w:rsidRPr="00A364D8">
        <w:rPr>
          <w:rFonts w:ascii="PT Astra Serif" w:hAnsi="PT Astra Serif"/>
          <w:bCs/>
        </w:rPr>
        <w:t xml:space="preserve">тсутствие повышающего корректирующего коэффициента на «техническое состояние здания» к стоимости объекта-аналога </w:t>
      </w:r>
      <w:r>
        <w:rPr>
          <w:rFonts w:ascii="PT Astra Serif" w:hAnsi="PT Astra Serif"/>
          <w:bCs/>
        </w:rPr>
        <w:t>№2</w:t>
      </w:r>
      <w:r w:rsidRPr="00A364D8">
        <w:rPr>
          <w:rFonts w:ascii="PT Astra Serif" w:hAnsi="PT Astra Serif"/>
          <w:bCs/>
        </w:rPr>
        <w:t xml:space="preserve"> не отражает действительной разницы между данным зданием, построенным в 19</w:t>
      </w:r>
      <w:r>
        <w:rPr>
          <w:rFonts w:ascii="PT Astra Serif" w:hAnsi="PT Astra Serif"/>
          <w:bCs/>
        </w:rPr>
        <w:t>80</w:t>
      </w:r>
      <w:r w:rsidRPr="00A364D8">
        <w:rPr>
          <w:rFonts w:ascii="PT Astra Serif" w:hAnsi="PT Astra Serif"/>
          <w:bCs/>
        </w:rPr>
        <w:t xml:space="preserve"> году и зданием объекта оценки, построенным в 20</w:t>
      </w:r>
      <w:r>
        <w:rPr>
          <w:rFonts w:ascii="PT Astra Serif" w:hAnsi="PT Astra Serif"/>
          <w:bCs/>
        </w:rPr>
        <w:t>16</w:t>
      </w:r>
      <w:r w:rsidRPr="00A364D8">
        <w:rPr>
          <w:rFonts w:ascii="PT Astra Serif" w:hAnsi="PT Astra Serif"/>
          <w:bCs/>
        </w:rPr>
        <w:t xml:space="preserve"> году.</w:t>
      </w:r>
      <w:r>
        <w:rPr>
          <w:rFonts w:ascii="PT Astra Serif" w:hAnsi="PT Astra Serif"/>
          <w:bCs/>
        </w:rPr>
        <w:t xml:space="preserve"> Тем самым, О</w:t>
      </w:r>
      <w:r w:rsidRPr="00A42416">
        <w:rPr>
          <w:rFonts w:ascii="PT Astra Serif" w:hAnsi="PT Astra Serif"/>
          <w:bCs/>
        </w:rPr>
        <w:t>ценщиком наруш</w:t>
      </w:r>
      <w:r>
        <w:rPr>
          <w:rFonts w:ascii="PT Astra Serif" w:hAnsi="PT Astra Serif"/>
          <w:bCs/>
        </w:rPr>
        <w:t>ено</w:t>
      </w:r>
      <w:r w:rsidRPr="00A42416">
        <w:rPr>
          <w:rFonts w:ascii="PT Astra Serif" w:hAnsi="PT Astra Serif"/>
          <w:bCs/>
        </w:rPr>
        <w:t xml:space="preserve"> требование </w:t>
      </w:r>
      <w:r w:rsidRPr="00A42416">
        <w:rPr>
          <w:b/>
        </w:rPr>
        <w:t>п. 5 ФСО №3</w:t>
      </w:r>
      <w:r>
        <w:t>.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3. В качестве объекта-аналога №3 при расчете сравнительным подходом Оценщик использует отдельно стоящее здание по адресу: г. Томск, ул. Вокзальная, 43а. 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В рамках исследования данного объекта на сопоставимость с объектом оценки, было установлено, что здание по ул. Вокзальной, 43а не числится на кадастровом учете. Вместе с тем, земельный участок по адресу: ул. Вокзальная, 43а (кадастровый номер </w:t>
      </w:r>
      <w:r w:rsidRPr="00C6469A">
        <w:rPr>
          <w:rFonts w:ascii="PT Astra Serif" w:hAnsi="PT Astra Serif"/>
          <w:bCs/>
        </w:rPr>
        <w:t>70:21:0100042:29</w:t>
      </w:r>
      <w:r>
        <w:rPr>
          <w:rFonts w:ascii="PT Astra Serif" w:hAnsi="PT Astra Serif"/>
          <w:bCs/>
        </w:rPr>
        <w:t>) общей площадью 49,96 кв.м. относится к к</w:t>
      </w:r>
      <w:r w:rsidRPr="00C6469A">
        <w:rPr>
          <w:rFonts w:ascii="PT Astra Serif" w:hAnsi="PT Astra Serif"/>
          <w:bCs/>
        </w:rPr>
        <w:t xml:space="preserve">атегории земель </w:t>
      </w:r>
      <w:r>
        <w:rPr>
          <w:rFonts w:ascii="PT Astra Serif" w:hAnsi="PT Astra Serif"/>
          <w:bCs/>
        </w:rPr>
        <w:t>«з</w:t>
      </w:r>
      <w:r w:rsidRPr="00C6469A">
        <w:rPr>
          <w:rFonts w:ascii="PT Astra Serif" w:hAnsi="PT Astra Serif"/>
          <w:bCs/>
        </w:rPr>
        <w:t>емли населённых пунктов</w:t>
      </w:r>
      <w:r>
        <w:rPr>
          <w:rFonts w:ascii="PT Astra Serif" w:hAnsi="PT Astra Serif"/>
          <w:bCs/>
        </w:rPr>
        <w:t>»</w:t>
      </w:r>
      <w:r w:rsidRPr="00C6469A">
        <w:rPr>
          <w:rFonts w:ascii="PT Astra Serif" w:hAnsi="PT Astra Serif"/>
          <w:bCs/>
        </w:rPr>
        <w:t xml:space="preserve"> с </w:t>
      </w:r>
      <w:r>
        <w:rPr>
          <w:rFonts w:ascii="PT Astra Serif" w:hAnsi="PT Astra Serif"/>
          <w:bCs/>
        </w:rPr>
        <w:t>р</w:t>
      </w:r>
      <w:r w:rsidRPr="00C6469A">
        <w:rPr>
          <w:rFonts w:ascii="PT Astra Serif" w:hAnsi="PT Astra Serif"/>
          <w:bCs/>
        </w:rPr>
        <w:t>азрешенным использованием «</w:t>
      </w:r>
      <w:r>
        <w:rPr>
          <w:rFonts w:ascii="PT Astra Serif" w:hAnsi="PT Astra Serif"/>
          <w:bCs/>
        </w:rPr>
        <w:t>д</w:t>
      </w:r>
      <w:r w:rsidRPr="00C6469A">
        <w:rPr>
          <w:rFonts w:ascii="PT Astra Serif" w:hAnsi="PT Astra Serif"/>
          <w:bCs/>
        </w:rPr>
        <w:t>ля реконструкции торгового павильона под временное сооружение – магазин»</w:t>
      </w:r>
      <w:r>
        <w:rPr>
          <w:rFonts w:ascii="PT Astra Serif" w:hAnsi="PT Astra Serif"/>
          <w:bCs/>
        </w:rPr>
        <w:t>.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Учитывая тот факт, что вид разрешенного использования вышеуказанного земельного участка не позволяет осуществлять капитальное строительство, строение по ул. Вокзальная, 43а является временным и не может рассматриваться как аналог оцениваемого здания – объекта капитального строительства. Оценщиком нарушены требования </w:t>
      </w:r>
      <w:r w:rsidRPr="002B1F8D"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Cs/>
          <w:i/>
        </w:rPr>
        <w:t>.</w:t>
      </w:r>
    </w:p>
    <w:p w:rsidR="00BD0BAC" w:rsidRDefault="00BD0BAC" w:rsidP="00BD0BAC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4. В расчетной таблице на стр. 60 Отчета в рамках доходного подхода к стоимости всех объектов-аналогов Оценщик применяет понижающий коэффициент в размере 8% на </w:t>
      </w:r>
      <w:r>
        <w:rPr>
          <w:rFonts w:ascii="PT Astra Serif" w:hAnsi="PT Astra Serif"/>
          <w:bCs/>
        </w:rPr>
        <w:lastRenderedPageBreak/>
        <w:t xml:space="preserve">«состав арендной ставки», исключая тем самым из нее долю коммунальных платежей. Однако, согласно скриншотам объявлений по объектам-аналогам №1, 2 представленным на стр. 71, 72 Отчета, информация о включении в стоимость арендной ставки коммунальных платежей отсутствует. В этой связи, необоснованное применение понижающих корректирующих коэффициентов к стоимости объектов-аналогов №1, 2 приводит к занижению стоимости объекта оценки и нарушению требований </w:t>
      </w:r>
      <w:r w:rsidRPr="009D7AEC">
        <w:rPr>
          <w:rFonts w:ascii="PT Astra Serif" w:hAnsi="PT Astra Serif"/>
          <w:b/>
          <w:bCs/>
          <w:color w:val="000000"/>
        </w:rPr>
        <w:t>п. 5 ФСО №3</w:t>
      </w:r>
      <w:r>
        <w:rPr>
          <w:rFonts w:ascii="PT Astra Serif" w:hAnsi="PT Astra Serif"/>
          <w:b/>
          <w:bCs/>
          <w:color w:val="000000"/>
        </w:rPr>
        <w:t>.</w:t>
      </w:r>
    </w:p>
    <w:p w:rsidR="00BD0BAC" w:rsidRPr="00B360DE" w:rsidRDefault="00BD0BAC" w:rsidP="00BD0BA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ab/>
      </w:r>
    </w:p>
    <w:p w:rsidR="00BD0BAC" w:rsidRPr="00B360DE" w:rsidRDefault="00BD0BAC" w:rsidP="00BD0BA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         Комиссией принято РЕШЕНИЕ: </w:t>
      </w:r>
    </w:p>
    <w:p w:rsidR="00BD0BAC" w:rsidRPr="00B360DE" w:rsidRDefault="00BD0BAC" w:rsidP="00BD0BAC">
      <w:pPr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860AF">
        <w:rPr>
          <w:rFonts w:ascii="PT Astra Serif" w:hAnsi="PT Astra Serif"/>
        </w:rPr>
        <w:t>ХХХ</w:t>
      </w:r>
      <w:r w:rsidRPr="00B360DE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</w:t>
      </w:r>
      <w:r>
        <w:rPr>
          <w:rFonts w:ascii="PT Astra Serif" w:hAnsi="PT Astra Serif"/>
        </w:rPr>
        <w:t>0100024</w:t>
      </w:r>
      <w:r w:rsidRPr="00B360DE">
        <w:rPr>
          <w:rFonts w:ascii="PT Astra Serif" w:hAnsi="PT Astra Serif"/>
        </w:rPr>
        <w:t>:</w:t>
      </w:r>
      <w:r>
        <w:rPr>
          <w:rFonts w:ascii="PT Astra Serif" w:hAnsi="PT Astra Serif"/>
        </w:rPr>
        <w:t>1171</w:t>
      </w:r>
      <w:r w:rsidRPr="00B360DE">
        <w:rPr>
          <w:rFonts w:ascii="PT Astra Serif" w:hAnsi="PT Astra Serif"/>
        </w:rPr>
        <w:t>, расположенного по адресу: Ро</w:t>
      </w:r>
      <w:bookmarkStart w:id="0" w:name="_GoBack"/>
      <w:bookmarkEnd w:id="0"/>
      <w:r w:rsidRPr="00B360DE">
        <w:rPr>
          <w:rFonts w:ascii="PT Astra Serif" w:hAnsi="PT Astra Serif"/>
        </w:rPr>
        <w:t xml:space="preserve">ссийская Федерация, Томская область, </w:t>
      </w:r>
      <w:r>
        <w:rPr>
          <w:rFonts w:ascii="PT Astra Serif" w:hAnsi="PT Astra Serif"/>
        </w:rPr>
        <w:t>г. Томск, ул. Большая Подгорная, д. 164</w:t>
      </w:r>
      <w:r w:rsidRPr="00B360DE">
        <w:rPr>
          <w:rFonts w:ascii="PT Astra Serif" w:hAnsi="PT Astra Serif"/>
        </w:rPr>
        <w:t>.</w:t>
      </w:r>
    </w:p>
    <w:p w:rsidR="0094118A" w:rsidRDefault="0094118A" w:rsidP="0094118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BD0BAC" w:rsidRPr="00B360DE" w:rsidRDefault="00BD0BAC" w:rsidP="00BD0BA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F3D" w:rsidRDefault="00323F3D">
      <w:r>
        <w:separator/>
      </w:r>
    </w:p>
  </w:endnote>
  <w:endnote w:type="continuationSeparator" w:id="0">
    <w:p w:rsidR="00323F3D" w:rsidRDefault="00323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F3D" w:rsidRDefault="00323F3D">
      <w:r>
        <w:separator/>
      </w:r>
    </w:p>
  </w:footnote>
  <w:footnote w:type="continuationSeparator" w:id="0">
    <w:p w:rsidR="00323F3D" w:rsidRDefault="00323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17"/>
  </w:num>
  <w:num w:numId="4">
    <w:abstractNumId w:val="7"/>
  </w:num>
  <w:num w:numId="5">
    <w:abstractNumId w:val="8"/>
  </w:num>
  <w:num w:numId="6">
    <w:abstractNumId w:val="29"/>
  </w:num>
  <w:num w:numId="7">
    <w:abstractNumId w:val="15"/>
  </w:num>
  <w:num w:numId="8">
    <w:abstractNumId w:val="23"/>
  </w:num>
  <w:num w:numId="9">
    <w:abstractNumId w:val="22"/>
  </w:num>
  <w:num w:numId="10">
    <w:abstractNumId w:val="26"/>
  </w:num>
  <w:num w:numId="11">
    <w:abstractNumId w:val="16"/>
  </w:num>
  <w:num w:numId="12">
    <w:abstractNumId w:val="35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2"/>
  </w:num>
  <w:num w:numId="15">
    <w:abstractNumId w:val="1"/>
  </w:num>
  <w:num w:numId="16">
    <w:abstractNumId w:val="11"/>
  </w:num>
  <w:num w:numId="17">
    <w:abstractNumId w:val="33"/>
  </w:num>
  <w:num w:numId="18">
    <w:abstractNumId w:val="27"/>
  </w:num>
  <w:num w:numId="19">
    <w:abstractNumId w:val="5"/>
  </w:num>
  <w:num w:numId="20">
    <w:abstractNumId w:val="36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0"/>
  </w:num>
  <w:num w:numId="31">
    <w:abstractNumId w:val="19"/>
  </w:num>
  <w:num w:numId="32">
    <w:abstractNumId w:val="13"/>
  </w:num>
  <w:num w:numId="33">
    <w:abstractNumId w:val="34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5"/>
  </w:num>
  <w:num w:numId="39">
    <w:abstractNumId w:val="21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3F3D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860AF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EE081-E528-4414-9EB4-9331FAE0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1087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47</cp:revision>
  <cp:lastPrinted>2022-05-25T05:07:00Z</cp:lastPrinted>
  <dcterms:created xsi:type="dcterms:W3CDTF">2022-03-22T07:37:00Z</dcterms:created>
  <dcterms:modified xsi:type="dcterms:W3CDTF">2022-06-06T05:55:00Z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