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2A0E32">
        <w:rPr>
          <w:rFonts w:ascii="PT Astra Serif" w:hAnsi="PT Astra Serif"/>
          <w:b/>
          <w:bCs/>
        </w:rPr>
        <w:t>37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0</w:t>
      </w:r>
      <w:r w:rsidR="00AF713B" w:rsidRPr="00AF713B">
        <w:rPr>
          <w:rFonts w:ascii="PT Astra Serif" w:hAnsi="PT Astra Serif"/>
        </w:rPr>
        <w:t>2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104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E47159">
        <w:rPr>
          <w:rFonts w:ascii="PT Astra Serif" w:hAnsi="PT Astra Serif"/>
        </w:rPr>
        <w:t>ХХХ</w:t>
      </w:r>
      <w:r w:rsidR="00AF713B" w:rsidRPr="00AF713B">
        <w:rPr>
          <w:rFonts w:ascii="PT Astra Serif" w:hAnsi="PT Astra Serif"/>
        </w:rPr>
        <w:t xml:space="preserve"> 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E47159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2A0E32" w:rsidP="0078137D">
            <w:pPr>
              <w:pStyle w:val="af1"/>
            </w:pPr>
            <w:r w:rsidRPr="005D6890">
              <w:t>70:</w:t>
            </w:r>
            <w:r>
              <w:t>09</w:t>
            </w:r>
            <w:r w:rsidRPr="005D6890">
              <w:t>:</w:t>
            </w:r>
            <w:r>
              <w:t>0101003</w:t>
            </w:r>
            <w:r w:rsidRPr="005D6890">
              <w:t>:</w:t>
            </w:r>
            <w:r>
              <w:t>1244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2A0E32" w:rsidP="00AF713B">
            <w:pPr>
              <w:jc w:val="both"/>
              <w:rPr>
                <w:rFonts w:ascii="PT Astra Serif" w:hAnsi="PT Astra Serif"/>
              </w:rPr>
            </w:pPr>
            <w:r w:rsidRPr="00353492">
              <w:t>Томская область, Кривошеинский р-н, с.Кривошеино, ул.Кирова, д.3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2A0E32">
        <w:rPr>
          <w:rFonts w:ascii="PT Astra Serif" w:hAnsi="PT Astra Serif"/>
        </w:rPr>
        <w:t>4</w:t>
      </w:r>
      <w:r w:rsidR="002A0E32" w:rsidRPr="00430636">
        <w:rPr>
          <w:rFonts w:ascii="PT Astra Serif" w:hAnsi="PT Astra Serif"/>
        </w:rPr>
        <w:t> </w:t>
      </w:r>
      <w:r w:rsidR="002A0E32">
        <w:rPr>
          <w:rFonts w:ascii="PT Astra Serif" w:hAnsi="PT Astra Serif"/>
        </w:rPr>
        <w:t>970 </w:t>
      </w:r>
      <w:r w:rsidR="002A0E32" w:rsidRPr="00430636">
        <w:rPr>
          <w:rFonts w:ascii="PT Astra Serif" w:hAnsi="PT Astra Serif"/>
        </w:rPr>
        <w:t>000 (</w:t>
      </w:r>
      <w:r w:rsidR="002A0E32">
        <w:rPr>
          <w:rFonts w:ascii="PT Astra Serif" w:hAnsi="PT Astra Serif"/>
        </w:rPr>
        <w:t xml:space="preserve">четыре миллиона девятьсот семьдесят </w:t>
      </w:r>
      <w:r w:rsidR="002A0E32" w:rsidRPr="00430636">
        <w:rPr>
          <w:rFonts w:ascii="PT Astra Serif" w:hAnsi="PT Astra Serif"/>
        </w:rPr>
        <w:t>тысяч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AF713B" w:rsidRPr="00430636">
        <w:rPr>
          <w:rFonts w:ascii="PT Astra Serif" w:hAnsi="PT Astra Serif"/>
        </w:rPr>
        <w:t>1</w:t>
      </w:r>
      <w:r w:rsidR="002A0E32">
        <w:rPr>
          <w:rFonts w:ascii="PT Astra Serif" w:hAnsi="PT Astra Serif"/>
        </w:rPr>
        <w:t>0</w:t>
      </w:r>
      <w:r w:rsidR="00AF713B" w:rsidRPr="00430636">
        <w:rPr>
          <w:rFonts w:ascii="PT Astra Serif" w:hAnsi="PT Astra Serif"/>
        </w:rPr>
        <w:t>.</w:t>
      </w:r>
      <w:r w:rsidR="002A0E32">
        <w:rPr>
          <w:rFonts w:ascii="PT Astra Serif" w:hAnsi="PT Astra Serif"/>
        </w:rPr>
        <w:t>1</w:t>
      </w:r>
      <w:r w:rsidR="00AF713B" w:rsidRPr="00430636">
        <w:rPr>
          <w:rFonts w:ascii="PT Astra Serif" w:hAnsi="PT Astra Serif"/>
        </w:rPr>
        <w:t>0</w:t>
      </w:r>
      <w:r w:rsidR="00AF713B">
        <w:rPr>
          <w:rFonts w:ascii="PT Astra Serif" w:hAnsi="PT Astra Serif"/>
        </w:rPr>
        <w:t>.20</w:t>
      </w:r>
      <w:r w:rsidR="002A0E32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EF3D77">
        <w:tc>
          <w:tcPr>
            <w:tcW w:w="2981" w:type="dxa"/>
            <w:shd w:val="clear" w:color="auto" w:fill="auto"/>
          </w:tcPr>
          <w:p w:rsidR="008A1F49" w:rsidRPr="003F384B" w:rsidRDefault="003F384B" w:rsidP="008A1F49">
            <w:pPr>
              <w:rPr>
                <w:rFonts w:ascii="PT Astra Serif" w:hAnsi="PT Astra Serif"/>
              </w:rPr>
            </w:pPr>
            <w:r w:rsidRPr="003F384B"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8A1F49" w:rsidRPr="003F384B" w:rsidRDefault="005D3649" w:rsidP="008A1F49">
            <w:pPr>
              <w:rPr>
                <w:rFonts w:ascii="PT Astra Serif" w:hAnsi="PT Astra Serif"/>
              </w:rPr>
            </w:pPr>
            <w:r w:rsidRPr="003F384B">
              <w:rPr>
                <w:rFonts w:ascii="PT Astra Serif" w:hAnsi="PT Astra Serif"/>
              </w:rPr>
              <w:t>член СРО РОО</w:t>
            </w:r>
          </w:p>
        </w:tc>
        <w:tc>
          <w:tcPr>
            <w:tcW w:w="3069" w:type="dxa"/>
            <w:shd w:val="clear" w:color="auto" w:fill="auto"/>
          </w:tcPr>
          <w:p w:rsidR="008A1F49" w:rsidRPr="005D3649" w:rsidRDefault="008A1F49" w:rsidP="003F384B">
            <w:pPr>
              <w:rPr>
                <w:rFonts w:ascii="PT Astra Serif" w:hAnsi="PT Astra Serif"/>
              </w:rPr>
            </w:pPr>
            <w:r w:rsidRPr="003F384B">
              <w:rPr>
                <w:rFonts w:ascii="PT Astra Serif" w:hAnsi="PT Astra Serif"/>
              </w:rPr>
              <w:t xml:space="preserve">Реестровый номер </w:t>
            </w:r>
            <w:r w:rsidR="005D3649" w:rsidRPr="003F384B">
              <w:rPr>
                <w:rFonts w:ascii="PT Astra Serif" w:hAnsi="PT Astra Serif"/>
              </w:rPr>
              <w:t>00</w:t>
            </w:r>
            <w:r w:rsidR="003F384B" w:rsidRPr="003F384B">
              <w:rPr>
                <w:rFonts w:ascii="PT Astra Serif" w:hAnsi="PT Astra Serif"/>
              </w:rPr>
              <w:t>8873</w:t>
            </w:r>
            <w:r w:rsidR="005D3649" w:rsidRPr="003F384B">
              <w:rPr>
                <w:rFonts w:ascii="PT Astra Serif" w:hAnsi="PT Astra Serif"/>
              </w:rPr>
              <w:t>, дата включения в реестр – 22</w:t>
            </w:r>
            <w:r w:rsidRPr="003F384B">
              <w:rPr>
                <w:rFonts w:ascii="PT Astra Serif" w:hAnsi="PT Astra Serif"/>
              </w:rPr>
              <w:t>.0</w:t>
            </w:r>
            <w:r w:rsidR="005D3649" w:rsidRPr="003F384B">
              <w:rPr>
                <w:rFonts w:ascii="PT Astra Serif" w:hAnsi="PT Astra Serif"/>
              </w:rPr>
              <w:t>7</w:t>
            </w:r>
            <w:r w:rsidRPr="003F384B">
              <w:rPr>
                <w:rFonts w:ascii="PT Astra Serif" w:hAnsi="PT Astra Serif"/>
              </w:rPr>
              <w:t>.20</w:t>
            </w:r>
            <w:r w:rsidR="005D3649" w:rsidRPr="003F384B">
              <w:rPr>
                <w:rFonts w:ascii="PT Astra Serif" w:hAnsi="PT Astra Serif"/>
              </w:rPr>
              <w:t>20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3F384B" w:rsidP="003F384B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3F384B" w:rsidRDefault="003F384B" w:rsidP="003F384B">
      <w:pPr>
        <w:ind w:firstLine="426"/>
        <w:jc w:val="both"/>
        <w:rPr>
          <w:rFonts w:ascii="PT Astra Serif" w:hAnsi="PT Astra Serif"/>
          <w:b/>
          <w:bCs/>
        </w:rPr>
      </w:pPr>
      <w:r w:rsidRPr="003F384B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</w:t>
      </w:r>
      <w:r w:rsidRPr="002F2393">
        <w:rPr>
          <w:rFonts w:ascii="PT Astra Serif" w:hAnsi="PT Astra Serif"/>
          <w:b/>
          <w:bCs/>
        </w:rPr>
        <w:t>:</w:t>
      </w:r>
    </w:p>
    <w:p w:rsidR="003F384B" w:rsidRDefault="003F384B" w:rsidP="002A0E32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</w:p>
    <w:p w:rsidR="002A0E32" w:rsidRDefault="002A0E32" w:rsidP="002A0E32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F81446">
        <w:rPr>
          <w:rFonts w:ascii="PT Astra Serif" w:hAnsi="PT Astra Serif"/>
          <w:bCs/>
          <w:sz w:val="24"/>
          <w:szCs w:val="24"/>
        </w:rPr>
        <w:t>Объект оценки – нежилое здание, расположенное в с. Кривошеино Томской области. Село Кривошеино</w:t>
      </w:r>
      <w:r w:rsidRPr="006928CC">
        <w:rPr>
          <w:rFonts w:ascii="PT Astra Serif" w:hAnsi="PT Astra Serif"/>
          <w:bCs/>
          <w:sz w:val="24"/>
          <w:szCs w:val="24"/>
        </w:rPr>
        <w:t xml:space="preserve"> является центром муниципального образования, имеющим сложившуюся социально-экономическую инфраструктуру, характерную для административных райцентров области. </w:t>
      </w:r>
    </w:p>
    <w:p w:rsidR="002A0E32" w:rsidRPr="006928CC" w:rsidRDefault="002A0E32" w:rsidP="002A0E32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6928CC">
        <w:rPr>
          <w:rFonts w:ascii="PT Astra Serif" w:hAnsi="PT Astra Serif"/>
          <w:bCs/>
          <w:sz w:val="24"/>
          <w:szCs w:val="24"/>
        </w:rPr>
        <w:t xml:space="preserve">В с. Кривошеино расположены следующие объекты предпринимательской и </w:t>
      </w:r>
      <w:r>
        <w:rPr>
          <w:rFonts w:ascii="PT Astra Serif" w:hAnsi="PT Astra Serif"/>
          <w:bCs/>
          <w:sz w:val="24"/>
          <w:szCs w:val="24"/>
        </w:rPr>
        <w:t>социально-экономической</w:t>
      </w:r>
      <w:r w:rsidRPr="006928CC">
        <w:rPr>
          <w:rFonts w:ascii="PT Astra Serif" w:hAnsi="PT Astra Serif"/>
          <w:bCs/>
          <w:sz w:val="24"/>
          <w:szCs w:val="24"/>
        </w:rPr>
        <w:t xml:space="preserve"> сфер:</w:t>
      </w:r>
    </w:p>
    <w:p w:rsidR="002A0E32" w:rsidRPr="00997ACE" w:rsidRDefault="002A0E32" w:rsidP="002A0E32">
      <w:pPr>
        <w:pStyle w:val="aff0"/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 w:rsidRPr="00997ACE">
        <w:rPr>
          <w:rFonts w:ascii="PT Astra Serif" w:hAnsi="PT Astra Serif"/>
          <w:bCs/>
          <w:sz w:val="24"/>
          <w:szCs w:val="24"/>
        </w:rPr>
        <w:t>- ОАО «Кривошеинская МПМК» с. Кривошеино, ул. Октябрьская, 55 Производство общестроительных работ по возведению зданий</w:t>
      </w:r>
    </w:p>
    <w:p w:rsidR="002A0E32" w:rsidRPr="00997ACE" w:rsidRDefault="002A0E32" w:rsidP="002A0E32">
      <w:pPr>
        <w:pStyle w:val="aff0"/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 w:rsidRPr="00997ACE">
        <w:rPr>
          <w:rFonts w:ascii="PT Astra Serif" w:hAnsi="PT Astra Serif"/>
          <w:bCs/>
          <w:sz w:val="24"/>
          <w:szCs w:val="24"/>
        </w:rPr>
        <w:t>- ООО «ЧОП «Тигр» с. Кривошеино, ул. Коммунистическая, 56 Деятельность частных охранных служб</w:t>
      </w:r>
    </w:p>
    <w:p w:rsidR="002A0E32" w:rsidRDefault="002A0E32" w:rsidP="002A0E32">
      <w:pPr>
        <w:pStyle w:val="aff0"/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 w:rsidRPr="00E35177">
        <w:rPr>
          <w:rFonts w:ascii="PT Astra Serif" w:hAnsi="PT Astra Serif"/>
          <w:bCs/>
          <w:sz w:val="24"/>
          <w:szCs w:val="24"/>
        </w:rPr>
        <w:t>- ООО «Кривошеинский молочный завод» с. Кривошеино, ул. Тракторная, 27 Производство цельномолочной продукции</w:t>
      </w:r>
      <w:r>
        <w:rPr>
          <w:rFonts w:ascii="PT Astra Serif" w:hAnsi="PT Astra Serif"/>
          <w:bCs/>
          <w:sz w:val="24"/>
          <w:szCs w:val="24"/>
        </w:rPr>
        <w:t>;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 w:rsidRPr="0002642B">
        <w:rPr>
          <w:rFonts w:ascii="PT Astra Serif" w:hAnsi="PT Astra Serif"/>
          <w:bCs/>
        </w:rPr>
        <w:t>- Миграционный пункт ОМВД России по Кривошеинскому району УМВД России по Томской области</w:t>
      </w:r>
      <w:r>
        <w:rPr>
          <w:rFonts w:ascii="PT Astra Serif" w:hAnsi="PT Astra Serif"/>
          <w:bCs/>
        </w:rPr>
        <w:t>;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- Кинотеатр в ЦКД «Космос»;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- Кривошеинский Дом культуры;</w:t>
      </w:r>
    </w:p>
    <w:p w:rsidR="002A0E32" w:rsidRPr="00C9604D" w:rsidRDefault="002A0E32" w:rsidP="002A0E32">
      <w:pPr>
        <w:ind w:firstLine="709"/>
        <w:jc w:val="both"/>
        <w:rPr>
          <w:rFonts w:ascii="PT Astra Serif" w:hAnsi="PT Astra Serif"/>
          <w:bCs/>
        </w:rPr>
      </w:pPr>
      <w:r w:rsidRPr="00C9604D">
        <w:rPr>
          <w:rFonts w:ascii="PT Astra Serif" w:hAnsi="PT Astra Serif"/>
          <w:bCs/>
        </w:rPr>
        <w:t>- МБУ «Кривошеинская центральная межпоселенческая библиотека»</w:t>
      </w:r>
    </w:p>
    <w:p w:rsidR="002A0E32" w:rsidRPr="00C9604D" w:rsidRDefault="002A0E32" w:rsidP="002A0E32">
      <w:pPr>
        <w:ind w:firstLine="709"/>
        <w:jc w:val="both"/>
        <w:rPr>
          <w:rFonts w:ascii="PT Astra Serif" w:hAnsi="PT Astra Serif"/>
          <w:bCs/>
        </w:rPr>
      </w:pPr>
      <w:r w:rsidRPr="00C9604D">
        <w:rPr>
          <w:rFonts w:ascii="PT Astra Serif" w:hAnsi="PT Astra Serif"/>
          <w:bCs/>
        </w:rPr>
        <w:t>- Спортивные сооружения и площадки, где проходят юношеские соревнования, спортивные игры и фестивали</w:t>
      </w:r>
      <w:r>
        <w:rPr>
          <w:rFonts w:ascii="PT Astra Serif" w:hAnsi="PT Astra Serif"/>
          <w:bCs/>
        </w:rPr>
        <w:t>;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- ОГАУЗ Кривошеинская районн</w:t>
      </w:r>
      <w:r w:rsidRPr="00C9604D">
        <w:rPr>
          <w:rFonts w:ascii="PT Astra Serif" w:hAnsi="PT Astra Serif"/>
          <w:bCs/>
        </w:rPr>
        <w:t>ая больница, предоставляющая медицинскую помощь посредством хирургического, терапевтического, инфекционного, родильного и дет</w:t>
      </w:r>
      <w:r>
        <w:rPr>
          <w:rFonts w:ascii="PT Astra Serif" w:hAnsi="PT Astra Serif"/>
          <w:bCs/>
        </w:rPr>
        <w:t>с</w:t>
      </w:r>
      <w:r w:rsidRPr="00C9604D">
        <w:rPr>
          <w:rFonts w:ascii="PT Astra Serif" w:hAnsi="PT Astra Serif"/>
          <w:bCs/>
        </w:rPr>
        <w:t>кого отделений</w:t>
      </w:r>
      <w:r>
        <w:rPr>
          <w:rFonts w:ascii="PT Astra Serif" w:hAnsi="PT Astra Serif"/>
          <w:bCs/>
        </w:rPr>
        <w:t>;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- Дошкольное образовательное учреждение (детский сад «Березка»), МБОУ «Кривошеинская средняя общеобразовательная школа имени Героя</w:t>
      </w:r>
      <w:r w:rsidRPr="00706DCF">
        <w:rPr>
          <w:rFonts w:ascii="PT Astra Serif" w:hAnsi="PT Astra Serif"/>
          <w:bCs/>
        </w:rPr>
        <w:t xml:space="preserve"> Советского Союза Фёдора Матвеевича Зинченко»</w:t>
      </w:r>
      <w:r>
        <w:rPr>
          <w:rFonts w:ascii="PT Astra Serif" w:hAnsi="PT Astra Serif"/>
          <w:bCs/>
        </w:rPr>
        <w:t>, а также такие учреждения дополнительного образования, как «Дом детского творчества», «Кривошеинская детская школа искусств», «Детско-юношеская спортивная школа»;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- </w:t>
      </w:r>
      <w:r w:rsidRPr="00D92C37">
        <w:rPr>
          <w:rFonts w:ascii="PT Astra Serif" w:hAnsi="PT Astra Serif"/>
          <w:bCs/>
        </w:rPr>
        <w:t>ОГБПОУ «Кривошеинский агропромышленный техникум»</w:t>
      </w:r>
      <w:r>
        <w:rPr>
          <w:rFonts w:ascii="PT Astra Serif" w:hAnsi="PT Astra Serif"/>
          <w:bCs/>
        </w:rPr>
        <w:t>;</w:t>
      </w:r>
    </w:p>
    <w:p w:rsidR="002A0E32" w:rsidRDefault="002A0E32" w:rsidP="002A0E32">
      <w:pPr>
        <w:pStyle w:val="aff0"/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- Центр занятости, МФЦ.</w:t>
      </w:r>
    </w:p>
    <w:p w:rsidR="002A0E32" w:rsidRDefault="002A0E32" w:rsidP="002A0E32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993D00">
        <w:rPr>
          <w:rFonts w:ascii="PT Astra Serif" w:hAnsi="PT Astra Serif"/>
          <w:bCs/>
          <w:sz w:val="24"/>
          <w:szCs w:val="24"/>
        </w:rPr>
        <w:t>В расчетной таблице на стр. 60 Отчета</w:t>
      </w:r>
      <w:r>
        <w:rPr>
          <w:rFonts w:ascii="PT Astra Serif" w:hAnsi="PT Astra Serif"/>
          <w:bCs/>
          <w:sz w:val="24"/>
          <w:szCs w:val="24"/>
        </w:rPr>
        <w:t xml:space="preserve"> Оценщик в рамках сравнительного подхода применяет в качестве аналогов №1, 2, 3 объекты, расположенные в с. Моряковский Затон, д. Нелюбино, с. Александровское Томского района. При этом, к стоимости данных объектов-аналогов используются понижающие корректирующие коэффициенты на местоположение в размере (-)25%, использование которых, по мнению специалистов ОГБУ «ТОЦИК», некорректно, так как данные населенные пункты значительно уступают с. Кривошеино в плане социально-экономического развития и наличия объектов инфраструктуры, характерных для районных центров муниципальных образований. </w:t>
      </w:r>
    </w:p>
    <w:p w:rsidR="002A0E32" w:rsidRPr="00993D00" w:rsidRDefault="002A0E32" w:rsidP="002A0E32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lastRenderedPageBreak/>
        <w:t xml:space="preserve">В качестве обоснования использования объектов, расположенных в малых сельских поселениях, как аналогов объекта оценки, Оценщик ссылается на неразвитость и отсутствие необходимой идентифицирующей информации об объектах, сопоставимых по местоположению с объектом оценки. </w:t>
      </w:r>
    </w:p>
    <w:p w:rsidR="002A0E32" w:rsidRDefault="002A0E32" w:rsidP="002A0E32">
      <w:pPr>
        <w:shd w:val="clear" w:color="auto" w:fill="FFFFFF"/>
        <w:tabs>
          <w:tab w:val="right" w:pos="0"/>
        </w:tabs>
        <w:jc w:val="both"/>
        <w:rPr>
          <w:bCs/>
        </w:rPr>
      </w:pPr>
      <w:r>
        <w:rPr>
          <w:rFonts w:ascii="PT Astra Serif" w:hAnsi="PT Astra Serif"/>
          <w:bCs/>
        </w:rPr>
        <w:tab/>
      </w:r>
      <w:r w:rsidRPr="00575337">
        <w:rPr>
          <w:rFonts w:ascii="PT Astra Serif" w:hAnsi="PT Astra Serif"/>
          <w:bCs/>
        </w:rPr>
        <w:t xml:space="preserve">В этой связи, </w:t>
      </w:r>
      <w:r>
        <w:rPr>
          <w:rFonts w:ascii="PT Astra Serif" w:hAnsi="PT Astra Serif"/>
          <w:bCs/>
        </w:rPr>
        <w:t xml:space="preserve">специалистами ОГБУ «ТОЦИК» было проведено исследование рынка архивных объявлений по предложениям к продаже нежилых объектов торгово-офисного назначения, в результате чего </w:t>
      </w:r>
      <w:r>
        <w:rPr>
          <w:bCs/>
        </w:rPr>
        <w:t xml:space="preserve">были обнаружены </w:t>
      </w:r>
      <w:r w:rsidRPr="0000192A">
        <w:rPr>
          <w:bCs/>
        </w:rPr>
        <w:t xml:space="preserve">предложения к продаже коммерческой недвижимости торгово-офисного </w:t>
      </w:r>
      <w:r>
        <w:rPr>
          <w:bCs/>
        </w:rPr>
        <w:t xml:space="preserve">и свободного </w:t>
      </w:r>
      <w:r w:rsidRPr="0000192A">
        <w:rPr>
          <w:bCs/>
        </w:rPr>
        <w:t xml:space="preserve">назначения, действующие до даты оценки -  </w:t>
      </w:r>
      <w:r>
        <w:rPr>
          <w:bCs/>
        </w:rPr>
        <w:t>10.10.2019</w:t>
      </w:r>
      <w:r w:rsidRPr="0000192A">
        <w:rPr>
          <w:bCs/>
        </w:rPr>
        <w:t xml:space="preserve">, а </w:t>
      </w:r>
      <w:r>
        <w:rPr>
          <w:bCs/>
        </w:rPr>
        <w:t xml:space="preserve">именно за период январь 2018 – сентябрь 2019 гг. По итогам анализа рыночной информации, в том числе исключения предложений с «выбивающимися» значениями, т.е. максимальными и минимальными ценами 1 кв.м. площади, на рынке коммерческой недвижимости Томской области были обнаружены предложения по продаже объектов торгово-офисного и свободного назначения, расположенных в административных районных центрах, сопоставимых с объектом оценки (с. Кожевниково, с. Молчаново, с. Зырянское) со стоимостью от </w:t>
      </w:r>
      <w:r w:rsidRPr="00BA346A">
        <w:rPr>
          <w:bCs/>
        </w:rPr>
        <w:t>9 047,18</w:t>
      </w:r>
      <w:r>
        <w:rPr>
          <w:bCs/>
        </w:rPr>
        <w:t xml:space="preserve"> руб. до 47 882,13 руб.</w:t>
      </w:r>
    </w:p>
    <w:p w:rsidR="002A0E32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Таким образом, в Отчете об оценке рыночной стоимости объекта оценки, Оценщик представляет пользователям Отчета лишь часть рынка предложений по продаже объектов торгово-офисного назначения в диапазоне от 5 120,00 до 15 953,00 руб/кв.м., наименее сопоставимых по местоположению с объектом оценки. К тому же, рынок представлен лишь из наиболее низкого диапазона цен, что при введении дополнительных понижающих коэффициентов на местоположение объектов-аналогов приводит к существенному занижению стоимости объекта оценки – итоговая рыночная стоимость объекта оценки в размере 5 148,13 руб./кв.м. ниже ценового диапазона по рынку коммерческой недвижимости торгового назначения, расположенной в административных районных центрах Томской области.</w:t>
      </w:r>
    </w:p>
    <w:p w:rsidR="002A0E32" w:rsidRPr="00575337" w:rsidRDefault="002A0E32" w:rsidP="002A0E32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Так как местоположение является наиболее значимым ценообразующим параметром среди других факторов, влияющих на цену офисно-торговой недвижимости (согласно используемого в Отчете «Справочника оценщика недвижимости – 2018» под ред. Лейфера Л.А., стр. 74, табл. 8), то при наличии столь значительного числа сопоставимых по местоположению и функциональному назначению объектов, не требующих внесения корректирующих коэффициентов, считаем некорректным использовать в качестве аналогов объекты, расположенные в населенных пунктах, отличных от объекта оценки по социально-экономическим характеристикам.</w:t>
      </w:r>
    </w:p>
    <w:p w:rsidR="002A0E32" w:rsidRPr="00F81446" w:rsidRDefault="002A0E32" w:rsidP="002A0E32">
      <w:pPr>
        <w:ind w:firstLine="709"/>
        <w:jc w:val="both"/>
        <w:rPr>
          <w:rFonts w:ascii="PT Astra Serif" w:hAnsi="PT Astra Serif"/>
          <w:bCs/>
        </w:rPr>
      </w:pPr>
      <w:r w:rsidRPr="00897F3D">
        <w:rPr>
          <w:rFonts w:ascii="PT Astra Serif" w:hAnsi="PT Astra Serif"/>
          <w:bCs/>
        </w:rPr>
        <w:t xml:space="preserve">В данном </w:t>
      </w:r>
      <w:r>
        <w:rPr>
          <w:rFonts w:ascii="PT Astra Serif" w:hAnsi="PT Astra Serif"/>
          <w:bCs/>
        </w:rPr>
        <w:t xml:space="preserve">случае нарушены требования </w:t>
      </w:r>
      <w:r w:rsidRPr="00AA7AC6">
        <w:rPr>
          <w:rFonts w:ascii="PT Astra Serif" w:hAnsi="PT Astra Serif"/>
          <w:b/>
          <w:bCs/>
        </w:rPr>
        <w:t>п. 11 ФСО №7</w:t>
      </w:r>
      <w:r w:rsidRPr="00897F3D">
        <w:rPr>
          <w:rFonts w:ascii="PT Astra Serif" w:hAnsi="PT Astra Serif"/>
          <w:bCs/>
        </w:rPr>
        <w:t xml:space="preserve">: </w:t>
      </w:r>
      <w:r>
        <w:rPr>
          <w:rFonts w:ascii="PT Astra Serif" w:hAnsi="PT Astra Serif"/>
          <w:bCs/>
        </w:rPr>
        <w:t xml:space="preserve">Оценщик осуществляет </w:t>
      </w:r>
      <w:r w:rsidRPr="00F81446">
        <w:rPr>
          <w:rFonts w:ascii="PT Astra Serif" w:hAnsi="PT Astra Serif"/>
          <w:bCs/>
        </w:rPr>
        <w:t>«определение сегмента рынка, к которому принадлежит оцениваемый объект. Если рынок недвижимости неразвит и данных, позволяющих составить представление о ценах сделок и (или) предложений с сопоставимыми объектами недвижимости, недостаточно, допускается расширить территорию исследования за счет территорий, схожих по экономическим характеристикам с местоположением оцениваемого объекта</w:t>
      </w:r>
      <w:r w:rsidRPr="00897F3D">
        <w:rPr>
          <w:rFonts w:ascii="PT Astra Serif" w:hAnsi="PT Astra Serif"/>
          <w:bCs/>
        </w:rPr>
        <w:t xml:space="preserve">», </w:t>
      </w:r>
      <w:r w:rsidRPr="00F81446">
        <w:rPr>
          <w:rFonts w:ascii="PT Astra Serif" w:hAnsi="PT Astra Serif"/>
          <w:bCs/>
        </w:rPr>
        <w:t>а</w:t>
      </w:r>
      <w:r>
        <w:rPr>
          <w:bCs/>
        </w:rPr>
        <w:t xml:space="preserve"> также</w:t>
      </w:r>
      <w:r w:rsidRPr="00A10800">
        <w:rPr>
          <w:bCs/>
        </w:rPr>
        <w:t xml:space="preserve"> </w:t>
      </w:r>
      <w:r w:rsidRPr="00FD1CB1">
        <w:rPr>
          <w:rFonts w:ascii="PT Astra Serif" w:hAnsi="PT Astra Serif"/>
          <w:b/>
          <w:bCs/>
        </w:rPr>
        <w:t>п. 22б ФСО №7</w:t>
      </w:r>
      <w:r w:rsidRPr="00FD1CB1">
        <w:rPr>
          <w:rFonts w:ascii="PT Astra Serif" w:hAnsi="PT Astra Serif"/>
          <w:bCs/>
          <w:i/>
        </w:rPr>
        <w:t xml:space="preserve">: </w:t>
      </w:r>
      <w:r w:rsidRPr="00F81446">
        <w:rPr>
          <w:rFonts w:ascii="PT Astra Serif" w:hAnsi="PT Astra Serif"/>
          <w:bCs/>
        </w:rPr>
        <w:t xml:space="preserve">«в качестве объектов-аналогов используются объекты недвижимости, которые относятся к одному с оцениваемым объектом сегменту рынка и сопоставимы с ним по ценообразующим факторам. При этом для всех объектов недвижимости, включая оцениваемый, ценообразование по каждому из указанных факторов должно быть единообразным» </w:t>
      </w:r>
      <w:r w:rsidRPr="005A4D9D">
        <w:rPr>
          <w:rFonts w:ascii="PT Astra Serif" w:hAnsi="PT Astra Serif"/>
          <w:bCs/>
        </w:rPr>
        <w:t>и</w:t>
      </w:r>
      <w:r>
        <w:rPr>
          <w:rFonts w:ascii="PT Astra Serif" w:hAnsi="PT Astra Serif"/>
          <w:bCs/>
          <w:i/>
        </w:rPr>
        <w:t xml:space="preserve"> </w:t>
      </w:r>
      <w:r w:rsidRPr="00AA7AC6">
        <w:rPr>
          <w:b/>
          <w:bCs/>
        </w:rPr>
        <w:t>п. 22в ФСО №7</w:t>
      </w:r>
      <w:r w:rsidRPr="00A10800">
        <w:rPr>
          <w:bCs/>
        </w:rPr>
        <w:t xml:space="preserve">: </w:t>
      </w:r>
      <w:r w:rsidRPr="00F81446">
        <w:rPr>
          <w:rFonts w:ascii="PT Astra Serif" w:hAnsi="PT Astra Serif"/>
          <w:bCs/>
        </w:rPr>
        <w:t>«при проведении оценки должны быть описаны объем доступных оценщику рыночных данных об объектах-аналогах и правила их отбора для проведения расчетов. Использование в расчетах лишь части доступных оценщику объектов-аналогов должно быть обосновано в отчете об оценке».</w:t>
      </w:r>
    </w:p>
    <w:p w:rsidR="002A0E32" w:rsidRDefault="002A0E32" w:rsidP="002A0E32">
      <w:pPr>
        <w:tabs>
          <w:tab w:val="num" w:pos="0"/>
        </w:tabs>
        <w:ind w:firstLine="709"/>
        <w:jc w:val="both"/>
        <w:rPr>
          <w:rFonts w:ascii="PT Astra Serif" w:hAnsi="PT Astra Serif"/>
          <w:b/>
          <w:bCs/>
        </w:rPr>
      </w:pPr>
      <w:r w:rsidRPr="00F81446">
        <w:rPr>
          <w:rFonts w:ascii="PT Astra Serif" w:hAnsi="PT Astra Serif"/>
          <w:bCs/>
        </w:rPr>
        <w:t>Таким образом, исходя из выше 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</w:t>
      </w:r>
      <w:r w:rsidRPr="00D361A1">
        <w:rPr>
          <w:rFonts w:ascii="PT Astra Serif" w:hAnsi="PT Astra Serif"/>
          <w:b/>
          <w:bCs/>
        </w:rPr>
        <w:t>.</w:t>
      </w: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2A0E32" w:rsidRPr="00430636" w:rsidRDefault="002A0E32" w:rsidP="002A0E32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</w:t>
      </w:r>
      <w:r w:rsidRPr="00430636">
        <w:rPr>
          <w:rFonts w:ascii="PT Astra Serif" w:hAnsi="PT Astra Serif"/>
        </w:rPr>
        <w:lastRenderedPageBreak/>
        <w:t xml:space="preserve">картографии от 24.08.2020 № П/0311, отклонить заявление </w:t>
      </w:r>
      <w:r w:rsidR="00E47159">
        <w:rPr>
          <w:rFonts w:ascii="PT Astra Serif" w:hAnsi="PT Astra Serif"/>
        </w:rPr>
        <w:t>ХХХ</w:t>
      </w:r>
      <w:bookmarkStart w:id="0" w:name="_GoBack"/>
      <w:bookmarkEnd w:id="0"/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</w:t>
      </w:r>
      <w:r>
        <w:rPr>
          <w:rFonts w:ascii="PT Astra Serif" w:hAnsi="PT Astra Serif"/>
        </w:rPr>
        <w:t>09</w:t>
      </w:r>
      <w:r w:rsidRPr="00430636">
        <w:rPr>
          <w:rFonts w:ascii="PT Astra Serif" w:hAnsi="PT Astra Serif"/>
        </w:rPr>
        <w:t>:0</w:t>
      </w:r>
      <w:r>
        <w:rPr>
          <w:rFonts w:ascii="PT Astra Serif" w:hAnsi="PT Astra Serif"/>
        </w:rPr>
        <w:t>1</w:t>
      </w:r>
      <w:r w:rsidRPr="00430636">
        <w:rPr>
          <w:rFonts w:ascii="PT Astra Serif" w:hAnsi="PT Astra Serif"/>
        </w:rPr>
        <w:t>0</w:t>
      </w:r>
      <w:r>
        <w:rPr>
          <w:rFonts w:ascii="PT Astra Serif" w:hAnsi="PT Astra Serif"/>
        </w:rPr>
        <w:t>1</w:t>
      </w:r>
      <w:r w:rsidRPr="00430636">
        <w:rPr>
          <w:rFonts w:ascii="PT Astra Serif" w:hAnsi="PT Astra Serif"/>
        </w:rPr>
        <w:t>0</w:t>
      </w:r>
      <w:r>
        <w:rPr>
          <w:rFonts w:ascii="PT Astra Serif" w:hAnsi="PT Astra Serif"/>
        </w:rPr>
        <w:t>03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>1244</w:t>
      </w:r>
      <w:r w:rsidRPr="00430636">
        <w:rPr>
          <w:rFonts w:ascii="PT Astra Serif" w:hAnsi="PT Astra Serif"/>
        </w:rPr>
        <w:t xml:space="preserve">, расположенного по адресу: </w:t>
      </w:r>
      <w:r>
        <w:rPr>
          <w:rFonts w:ascii="PT Astra Serif" w:hAnsi="PT Astra Serif"/>
        </w:rPr>
        <w:t>Томская область, р-н. Кривошеинский, с. Кривошеино, ул. Кирова, д.3</w:t>
      </w:r>
      <w:r w:rsidRPr="00430636">
        <w:rPr>
          <w:rFonts w:ascii="PT Astra Serif" w:hAnsi="PT Astra Serif"/>
        </w:rPr>
        <w:t>.</w:t>
      </w:r>
    </w:p>
    <w:p w:rsidR="009744AA" w:rsidRPr="00430636" w:rsidRDefault="009744AA" w:rsidP="009744AA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.</w:t>
      </w:r>
    </w:p>
    <w:p w:rsidR="008A1F49" w:rsidRPr="0078137D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C9E" w:rsidRDefault="00F00C9E">
      <w:r>
        <w:separator/>
      </w:r>
    </w:p>
  </w:endnote>
  <w:endnote w:type="continuationSeparator" w:id="0">
    <w:p w:rsidR="00F00C9E" w:rsidRDefault="00F00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C9E" w:rsidRDefault="00F00C9E">
      <w:r>
        <w:separator/>
      </w:r>
    </w:p>
  </w:footnote>
  <w:footnote w:type="continuationSeparator" w:id="0">
    <w:p w:rsidR="00F00C9E" w:rsidRDefault="00F00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384B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423C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47159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0C9E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B098287-7FF2-4DFF-9FF9-0E155D1F0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35400-F5B6-4C63-B335-6FA16A62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1115</TotalTime>
  <Pages>4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9441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59</cp:revision>
  <cp:lastPrinted>2022-06-01T12:05:00Z</cp:lastPrinted>
  <dcterms:created xsi:type="dcterms:W3CDTF">2022-03-22T07:37:00Z</dcterms:created>
  <dcterms:modified xsi:type="dcterms:W3CDTF">2022-07-04T09:22:00Z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