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4C57CE">
        <w:rPr>
          <w:rFonts w:ascii="PT Astra Serif" w:hAnsi="PT Astra Serif"/>
          <w:b/>
          <w:bCs/>
        </w:rPr>
        <w:t>1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C57CE">
        <w:rPr>
          <w:rFonts w:ascii="PT Astra Serif" w:hAnsi="PT Astra Serif"/>
        </w:rPr>
        <w:t>14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10</w:t>
      </w:r>
      <w:r w:rsidR="004C57CE">
        <w:rPr>
          <w:rFonts w:ascii="PT Astra Serif" w:hAnsi="PT Astra Serif"/>
        </w:rPr>
        <w:t>8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DB2CE2">
        <w:rPr>
          <w:rFonts w:ascii="PT Astra Serif" w:hAnsi="PT Astra Serif"/>
        </w:rPr>
        <w:t>ХХХ,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DB2CE2"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4C57CE" w:rsidP="0078137D">
            <w:pPr>
              <w:pStyle w:val="af1"/>
            </w:pPr>
            <w:r w:rsidRPr="00353492">
              <w:t>70:14:0300092:16647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4C57CE" w:rsidP="00AF713B">
            <w:pPr>
              <w:jc w:val="both"/>
              <w:rPr>
                <w:rFonts w:ascii="PT Astra Serif" w:hAnsi="PT Astra Serif"/>
              </w:rPr>
            </w:pPr>
            <w:r w:rsidRPr="00353492">
              <w:t>Томская область, Томский район, Мирненское сельское поселение, п. Мирный, МКР «Мирный», д. 78</w:t>
            </w:r>
            <w:r w:rsidR="00BA627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4C57CE">
        <w:rPr>
          <w:rFonts w:ascii="PT Astra Serif" w:hAnsi="PT Astra Serif"/>
        </w:rPr>
        <w:t>2 278 000</w:t>
      </w:r>
      <w:r w:rsidR="004C57CE" w:rsidRPr="00430636">
        <w:rPr>
          <w:rFonts w:ascii="PT Astra Serif" w:hAnsi="PT Astra Serif"/>
        </w:rPr>
        <w:t xml:space="preserve"> (два</w:t>
      </w:r>
      <w:r w:rsidR="004C57CE">
        <w:rPr>
          <w:rFonts w:ascii="PT Astra Serif" w:hAnsi="PT Astra Serif"/>
        </w:rPr>
        <w:t xml:space="preserve"> миллиона</w:t>
      </w:r>
      <w:r w:rsidR="004C57CE" w:rsidRPr="00430636">
        <w:rPr>
          <w:rFonts w:ascii="PT Astra Serif" w:hAnsi="PT Astra Serif"/>
        </w:rPr>
        <w:t xml:space="preserve"> </w:t>
      </w:r>
      <w:r w:rsidR="004C57CE">
        <w:rPr>
          <w:rFonts w:ascii="PT Astra Serif" w:hAnsi="PT Astra Serif"/>
        </w:rPr>
        <w:t xml:space="preserve">двести семьдесят восемь </w:t>
      </w:r>
      <w:r w:rsidR="004C57CE" w:rsidRPr="00430636">
        <w:rPr>
          <w:rFonts w:ascii="PT Astra Serif" w:hAnsi="PT Astra Serif"/>
        </w:rPr>
        <w:t>тысяч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4C57CE">
        <w:rPr>
          <w:rFonts w:ascii="PT Astra Serif" w:hAnsi="PT Astra Serif"/>
        </w:rPr>
        <w:t>2</w:t>
      </w:r>
      <w:r w:rsidR="00F2297A">
        <w:rPr>
          <w:rFonts w:ascii="PT Astra Serif" w:hAnsi="PT Astra Serif"/>
        </w:rPr>
        <w:t>4</w:t>
      </w:r>
      <w:r w:rsidR="00AF713B" w:rsidRPr="00430636">
        <w:rPr>
          <w:rFonts w:ascii="PT Astra Serif" w:hAnsi="PT Astra Serif"/>
        </w:rPr>
        <w:t>.0</w:t>
      </w:r>
      <w:r w:rsidR="00F2297A">
        <w:rPr>
          <w:rFonts w:ascii="PT Astra Serif" w:hAnsi="PT Astra Serif"/>
        </w:rPr>
        <w:t>7</w:t>
      </w:r>
      <w:r w:rsidR="00AF713B">
        <w:rPr>
          <w:rFonts w:ascii="PT Astra Serif" w:hAnsi="PT Astra Serif"/>
        </w:rPr>
        <w:t>.20</w:t>
      </w:r>
      <w:r w:rsidR="00F2297A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EF3D77">
        <w:tc>
          <w:tcPr>
            <w:tcW w:w="2981" w:type="dxa"/>
            <w:shd w:val="clear" w:color="auto" w:fill="auto"/>
          </w:tcPr>
          <w:p w:rsidR="008A1F49" w:rsidRPr="00F2297A" w:rsidRDefault="00F2297A" w:rsidP="008A1F49">
            <w:pPr>
              <w:rPr>
                <w:rFonts w:ascii="PT Astra Serif" w:hAnsi="PT Astra Serif"/>
              </w:rPr>
            </w:pPr>
            <w:r w:rsidRPr="00F2297A">
              <w:rPr>
                <w:rFonts w:ascii="PT Astra Serif" w:hAnsi="PT Astra Serif"/>
              </w:rPr>
              <w:t>Доценко Юлия Геннадьевна</w:t>
            </w:r>
          </w:p>
        </w:tc>
        <w:tc>
          <w:tcPr>
            <w:tcW w:w="3068" w:type="dxa"/>
            <w:shd w:val="clear" w:color="auto" w:fill="auto"/>
          </w:tcPr>
          <w:p w:rsidR="008A1F49" w:rsidRPr="00F2297A" w:rsidRDefault="00F2297A" w:rsidP="00F2297A">
            <w:pPr>
              <w:rPr>
                <w:rFonts w:ascii="PT Astra Serif" w:hAnsi="PT Astra Serif"/>
              </w:rPr>
            </w:pPr>
            <w:r w:rsidRPr="00F2297A">
              <w:rPr>
                <w:rFonts w:ascii="PT Astra Serif" w:hAnsi="PT Astra Serif"/>
              </w:rPr>
              <w:t>член СОО «РОО»</w:t>
            </w:r>
          </w:p>
        </w:tc>
        <w:tc>
          <w:tcPr>
            <w:tcW w:w="3069" w:type="dxa"/>
            <w:shd w:val="clear" w:color="auto" w:fill="auto"/>
          </w:tcPr>
          <w:p w:rsidR="008A1F49" w:rsidRPr="005D3649" w:rsidRDefault="008A1F49" w:rsidP="00F2297A">
            <w:pPr>
              <w:rPr>
                <w:rFonts w:ascii="PT Astra Serif" w:hAnsi="PT Astra Serif"/>
              </w:rPr>
            </w:pPr>
            <w:r w:rsidRPr="00F2297A">
              <w:rPr>
                <w:rFonts w:ascii="PT Astra Serif" w:hAnsi="PT Astra Serif"/>
              </w:rPr>
              <w:t xml:space="preserve">Реестровый номер </w:t>
            </w:r>
            <w:r w:rsidR="005D3649" w:rsidRPr="00F2297A">
              <w:rPr>
                <w:rFonts w:ascii="PT Astra Serif" w:hAnsi="PT Astra Serif"/>
              </w:rPr>
              <w:t>00</w:t>
            </w:r>
            <w:r w:rsidR="00F2297A" w:rsidRPr="00F2297A">
              <w:rPr>
                <w:rFonts w:ascii="PT Astra Serif" w:hAnsi="PT Astra Serif"/>
              </w:rPr>
              <w:t>4019, дата включения в реестр – 18</w:t>
            </w:r>
            <w:r w:rsidRPr="00F2297A">
              <w:rPr>
                <w:rFonts w:ascii="PT Astra Serif" w:hAnsi="PT Astra Serif"/>
              </w:rPr>
              <w:t>.0</w:t>
            </w:r>
            <w:r w:rsidR="00F2297A" w:rsidRPr="00F2297A">
              <w:rPr>
                <w:rFonts w:ascii="PT Astra Serif" w:hAnsi="PT Astra Serif"/>
              </w:rPr>
              <w:t>3</w:t>
            </w:r>
            <w:r w:rsidRPr="00F2297A">
              <w:rPr>
                <w:rFonts w:ascii="PT Astra Serif" w:hAnsi="PT Astra Serif"/>
              </w:rPr>
              <w:t>.20</w:t>
            </w:r>
            <w:r w:rsidR="005D3649" w:rsidRPr="00F2297A">
              <w:rPr>
                <w:rFonts w:ascii="PT Astra Serif" w:hAnsi="PT Astra Serif"/>
              </w:rPr>
              <w:t>0</w:t>
            </w:r>
            <w:r w:rsidR="00F2297A" w:rsidRPr="00F2297A">
              <w:rPr>
                <w:rFonts w:ascii="PT Astra Serif" w:hAnsi="PT Astra Serif"/>
              </w:rPr>
              <w:t>8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4C57CE" w:rsidRDefault="004C57CE" w:rsidP="004C57CE">
      <w:pPr>
        <w:jc w:val="both"/>
        <w:rPr>
          <w:rFonts w:ascii="PT Astra Serif" w:hAnsi="PT Astra Serif"/>
          <w:b/>
          <w:bCs/>
        </w:rPr>
      </w:pPr>
      <w:r w:rsidRPr="00FA45FF">
        <w:rPr>
          <w:rFonts w:ascii="PT Astra Serif" w:hAnsi="PT Astra Serif"/>
          <w:bCs/>
        </w:rPr>
        <w:t>По результатам анализа Отчета было выявлено следующее нарушение требований действующего на территории Российской Федерации законодательства об оценочной деятельности</w:t>
      </w:r>
      <w:r w:rsidRPr="002F2393">
        <w:rPr>
          <w:rFonts w:ascii="PT Astra Serif" w:hAnsi="PT Astra Serif"/>
          <w:b/>
          <w:bCs/>
        </w:rPr>
        <w:t>:</w:t>
      </w:r>
    </w:p>
    <w:p w:rsidR="004C57CE" w:rsidRDefault="004C57CE" w:rsidP="004C57CE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Объектом оценки является индивидуальный жилой дом, расположенный в мкр. «Мирный» на расстоянии </w:t>
      </w:r>
      <w:r w:rsidRPr="00681A82">
        <w:rPr>
          <w:rFonts w:ascii="Times New Roman" w:hAnsi="Times New Roman"/>
          <w:b/>
          <w:sz w:val="24"/>
          <w:szCs w:val="24"/>
          <w:lang w:eastAsia="ru-RU"/>
        </w:rPr>
        <w:t>10 км</w:t>
      </w:r>
      <w:r>
        <w:rPr>
          <w:rFonts w:ascii="Times New Roman" w:hAnsi="Times New Roman"/>
          <w:sz w:val="24"/>
          <w:szCs w:val="24"/>
          <w:lang w:eastAsia="ru-RU"/>
        </w:rPr>
        <w:t xml:space="preserve"> от центральной части города Томска. </w:t>
      </w:r>
    </w:p>
    <w:p w:rsidR="004C57CE" w:rsidRDefault="004C57CE" w:rsidP="004C57CE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Объекты, принятые Оценщиком в качестве аналогов, имеют следующие характеристики и особенности своего местоположения:</w:t>
      </w:r>
    </w:p>
    <w:p w:rsidR="004C57CE" w:rsidRPr="004E0EE6" w:rsidRDefault="004C57CE" w:rsidP="004C57CE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10"/>
          <w:szCs w:val="10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объект-аналог №1 расположен в с. Лучаново на расстоянии </w:t>
      </w:r>
      <w:r w:rsidRPr="00681A82">
        <w:rPr>
          <w:rFonts w:ascii="Times New Roman" w:hAnsi="Times New Roman"/>
          <w:b/>
          <w:sz w:val="24"/>
          <w:szCs w:val="24"/>
          <w:lang w:eastAsia="ru-RU"/>
        </w:rPr>
        <w:t>15,5 км</w:t>
      </w:r>
      <w:r>
        <w:rPr>
          <w:rFonts w:ascii="Times New Roman" w:hAnsi="Times New Roman"/>
          <w:sz w:val="24"/>
          <w:szCs w:val="24"/>
          <w:lang w:eastAsia="ru-RU"/>
        </w:rPr>
        <w:t xml:space="preserve"> от г. Томска. В расчётной таблице на стр. 28 Отчета корректировка на местоположение данного аналога относительно местоположения объекта оценки составляет 0% или 1.</w:t>
      </w:r>
    </w:p>
    <w:p w:rsidR="004C57CE" w:rsidRDefault="004C57CE" w:rsidP="004C57CE">
      <w:pPr>
        <w:pStyle w:val="aff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объект-аналог №3 расположен в с. Дзержинское на расстоянии </w:t>
      </w:r>
      <w:r w:rsidRPr="00681A82">
        <w:rPr>
          <w:rFonts w:ascii="Times New Roman" w:hAnsi="Times New Roman"/>
          <w:b/>
          <w:sz w:val="24"/>
          <w:szCs w:val="24"/>
          <w:lang w:eastAsia="ru-RU"/>
        </w:rPr>
        <w:t>7,66 км</w:t>
      </w:r>
      <w:r>
        <w:rPr>
          <w:rFonts w:ascii="Times New Roman" w:hAnsi="Times New Roman"/>
          <w:sz w:val="24"/>
          <w:szCs w:val="24"/>
          <w:lang w:eastAsia="ru-RU"/>
        </w:rPr>
        <w:t xml:space="preserve"> от городской черты. При этом, корректировка стоимости предложения на местоположение данного объекта по отношению к объекту оценки составляет 2% или 1,02.</w:t>
      </w:r>
    </w:p>
    <w:p w:rsidR="004C57CE" w:rsidRPr="00FA45FF" w:rsidRDefault="004C57CE" w:rsidP="004C57CE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FA45FF">
        <w:rPr>
          <w:rFonts w:ascii="Times New Roman" w:hAnsi="Times New Roman"/>
          <w:sz w:val="24"/>
          <w:szCs w:val="24"/>
          <w:lang w:eastAsia="ru-RU"/>
        </w:rPr>
        <w:t xml:space="preserve">Учитывая самую значительную величину расстояния объекта-аналога №1 от городской черты, считаем отсутствие к его стоимости повышающего корректирующего коэффициента на местоположение некорректным. Данный факт нарушает требования </w:t>
      </w:r>
      <w:r w:rsidRPr="00FA45FF">
        <w:rPr>
          <w:rFonts w:ascii="PT Astra Serif" w:hAnsi="PT Astra Serif"/>
          <w:b/>
          <w:bCs/>
          <w:sz w:val="24"/>
          <w:szCs w:val="24"/>
        </w:rPr>
        <w:t>п. 5 ФСО №3</w:t>
      </w:r>
      <w:r w:rsidRPr="00FA45FF">
        <w:rPr>
          <w:rFonts w:ascii="PT Astra Serif" w:hAnsi="PT Astra Serif"/>
          <w:bCs/>
          <w:sz w:val="24"/>
          <w:szCs w:val="24"/>
        </w:rPr>
        <w:t xml:space="preserve"> в части: «содержание отчета об оценке не должно вводить в заблуждение заказчика оценки и иных заинтересованных лиц (пользователи отчета об оценке» и приводит к занижению стоимости объекта оценки.</w:t>
      </w:r>
    </w:p>
    <w:p w:rsidR="004C57CE" w:rsidRDefault="004C57CE" w:rsidP="004C57CE">
      <w:pPr>
        <w:pStyle w:val="aff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FA45FF">
        <w:rPr>
          <w:rFonts w:ascii="Times New Roman" w:hAnsi="Times New Roman"/>
          <w:sz w:val="24"/>
          <w:szCs w:val="24"/>
          <w:lang w:eastAsia="ru-RU"/>
        </w:rPr>
        <w:t>- объект</w:t>
      </w:r>
      <w:r>
        <w:rPr>
          <w:rFonts w:ascii="Times New Roman" w:hAnsi="Times New Roman"/>
          <w:sz w:val="24"/>
          <w:szCs w:val="24"/>
          <w:lang w:eastAsia="ru-RU"/>
        </w:rPr>
        <w:t xml:space="preserve">-аналог №2 расположен в п. Степановка на ул. Поляночная, 15. Сам поселок Степановка хоть и является Кировским районом города, но местоположение объекта-аналога по улице Поляночной имеет определенные особенности дорожной и транспортной инфраструктуры: доступ к объектам, расположенным по ул. Урманская, Поляночная, Черемуховая п. Степановка возможен исключительно посредством </w:t>
      </w:r>
      <w:r w:rsidRPr="00D51148">
        <w:rPr>
          <w:rFonts w:ascii="Times New Roman" w:hAnsi="Times New Roman"/>
          <w:sz w:val="24"/>
          <w:szCs w:val="24"/>
          <w:lang w:eastAsia="ru-RU"/>
        </w:rPr>
        <w:t>дорожных переездов через</w:t>
      </w:r>
      <w:r>
        <w:rPr>
          <w:rFonts w:ascii="Times New Roman" w:hAnsi="Times New Roman"/>
          <w:sz w:val="24"/>
          <w:szCs w:val="24"/>
          <w:lang w:eastAsia="ru-RU"/>
        </w:rPr>
        <w:t xml:space="preserve"> р. Ушайка. Данный факт не может не оказывать отрицательного влияния на цену предложений к продаже расположенных здесь объектов. </w:t>
      </w:r>
    </w:p>
    <w:p w:rsidR="004C57CE" w:rsidRDefault="004C57CE" w:rsidP="004C57CE">
      <w:pPr>
        <w:pStyle w:val="aff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Применение в расчетной таблице на стр. 28 Отчета к стоимости объекта-аналога №2 (т.е. уже с заниженной стоимостью) понижающего коэффициента на местоположение в размере (-) 15%, как объекта, расположенного в городской черте, приводит к существенному занижению стоимости объекта оценки.</w:t>
      </w:r>
    </w:p>
    <w:p w:rsidR="004C57CE" w:rsidRPr="00CE5C68" w:rsidRDefault="004C57CE" w:rsidP="004C57CE">
      <w:pPr>
        <w:pStyle w:val="aff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C192C">
        <w:rPr>
          <w:rFonts w:ascii="Times New Roman" w:hAnsi="Times New Roman"/>
          <w:sz w:val="24"/>
          <w:szCs w:val="24"/>
          <w:lang w:eastAsia="ru-RU"/>
        </w:rPr>
        <w:t>Кроме того, в предыдущих пояснениях к отчету №61/22 от 04.04.2022 об оценке данного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жилого дома, в приложении были представлены объекты-аналоги, расположенные в п. Мирный и его ближайшем окружении (п. Зональная Станция), т.е. наиболее сопоставимые с объектом оценки и не требующие внесения дополнительных корректирующих коэффициентов на такой ценообразующий параметр как местоположение. По мнению специалистов ОГБУ «ТОЦИК», данные пояснения игнорируются Оценщиком также в целях занижения стоимости объекта оценки. </w:t>
      </w:r>
    </w:p>
    <w:p w:rsidR="004C57CE" w:rsidRDefault="004C57CE" w:rsidP="004C57CE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18"/>
          <w:szCs w:val="18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В расчетной таблице на стр. 29 Отчета, Оценщик к стоимости объекта-аналога №3 применяет понижающую корректировку в размере 12% в целях исключения затрат на дополнительные постройки, находящиеся на земельном участке, а именно гаража. Вместе с тем, в соответствии с фотографиями, представленными в объявлении о продаже данного объекта-аналога, гараж не является отдельной постройкой на земельном участке </w:t>
      </w:r>
      <w:r>
        <w:rPr>
          <w:rFonts w:ascii="Times New Roman" w:hAnsi="Times New Roman"/>
          <w:sz w:val="24"/>
          <w:szCs w:val="24"/>
          <w:lang w:eastAsia="ru-RU"/>
        </w:rPr>
        <w:lastRenderedPageBreak/>
        <w:t>домовладения, а является помещением, входящим в общий конструктив жилого дома (имеется проем для ворот гаража).</w:t>
      </w:r>
    </w:p>
    <w:p w:rsidR="004C57CE" w:rsidRDefault="004C57CE" w:rsidP="004C57CE">
      <w:pPr>
        <w:pStyle w:val="aff0"/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Стоит отметить, что в общую площадь оцениваемого жилого дома также включена площадь помещения, технические и конструктивные характеристики которого позволяют использовать его в качестве гаража. Об этом свидетельствует план жилого дома, представленный в технической документации на стр. 40 (помещение №4) и фотоматериалами на стр. 9-12 Отчета.</w:t>
      </w:r>
    </w:p>
    <w:p w:rsidR="004C57CE" w:rsidRPr="00FA45FF" w:rsidRDefault="004C57CE" w:rsidP="004C57CE">
      <w:pPr>
        <w:pStyle w:val="aff0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Таким образом, в отношении наличия надворных построек на земельном участке домовладений, объект оценки и объект-аналог №3 можно считать сопоставимыми. Применение понижающего корректирующего коэффициента на наличие надворных построек к стоимости объекта-аналога №3 приводит к занижению стоимости объекта оценки</w:t>
      </w:r>
      <w:r w:rsidR="00F2297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и</w:t>
      </w:r>
      <w:r w:rsidR="00F2297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нарушению</w:t>
      </w:r>
      <w:r w:rsidR="00F2297A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требований</w:t>
      </w:r>
      <w:r w:rsidR="00F2297A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C5076F">
        <w:rPr>
          <w:rFonts w:ascii="PT Astra Serif" w:hAnsi="PT Astra Serif"/>
          <w:b/>
          <w:bCs/>
          <w:sz w:val="24"/>
          <w:szCs w:val="24"/>
        </w:rPr>
        <w:t>п. 5 ФСО №3</w:t>
      </w:r>
      <w:r w:rsidRPr="002141A1">
        <w:rPr>
          <w:rFonts w:ascii="PT Astra Serif" w:hAnsi="PT Astra Serif"/>
          <w:bCs/>
          <w:sz w:val="24"/>
          <w:szCs w:val="24"/>
        </w:rPr>
        <w:t xml:space="preserve"> в части: </w:t>
      </w:r>
      <w:r w:rsidRPr="00FA45FF">
        <w:rPr>
          <w:rFonts w:ascii="PT Astra Serif" w:hAnsi="PT Astra Serif"/>
          <w:bCs/>
          <w:sz w:val="24"/>
          <w:szCs w:val="24"/>
        </w:rPr>
        <w:t>«содержание отчета об оценке не должно вводить в заблуждение заказчика оце</w:t>
      </w:r>
      <w:r>
        <w:rPr>
          <w:rFonts w:ascii="PT Astra Serif" w:hAnsi="PT Astra Serif"/>
          <w:bCs/>
          <w:sz w:val="24"/>
          <w:szCs w:val="24"/>
        </w:rPr>
        <w:t>нки и иных заинтересованных лиц</w:t>
      </w:r>
      <w:r w:rsidRPr="00FA45FF">
        <w:rPr>
          <w:rFonts w:ascii="PT Astra Serif" w:hAnsi="PT Astra Serif"/>
          <w:bCs/>
          <w:sz w:val="24"/>
          <w:szCs w:val="24"/>
        </w:rPr>
        <w:t>.</w:t>
      </w:r>
    </w:p>
    <w:p w:rsidR="004C57CE" w:rsidRPr="00FA45FF" w:rsidRDefault="004C57CE" w:rsidP="004C57CE">
      <w:pPr>
        <w:tabs>
          <w:tab w:val="num" w:pos="0"/>
        </w:tabs>
        <w:ind w:firstLine="709"/>
        <w:jc w:val="both"/>
        <w:rPr>
          <w:rFonts w:ascii="PT Astra Serif" w:hAnsi="PT Astra Serif"/>
          <w:bCs/>
        </w:rPr>
      </w:pPr>
      <w:r w:rsidRPr="00FA45FF">
        <w:rPr>
          <w:rFonts w:ascii="PT Astra Serif" w:hAnsi="PT Astra Serif"/>
          <w:bCs/>
        </w:rPr>
        <w:t>Исходя из выше указанного, выводы и результаты оценки в рассматриваемом Отчете не могут быть признаны достоверными. Выявленные недостатки Отчета и нарушения действующего законодательства об оценочной деятельности в Российской Федерации, по мнению специалистов ОГБУ «ТОЦИК», могли привести к значительному искажению итоговой рыночной стоимости объекта оценки.</w:t>
      </w:r>
    </w:p>
    <w:p w:rsidR="004C57CE" w:rsidRDefault="004C57CE" w:rsidP="004C57CE">
      <w:pPr>
        <w:ind w:firstLine="567"/>
        <w:jc w:val="both"/>
        <w:rPr>
          <w:rFonts w:ascii="PT Astra Serif" w:hAnsi="PT Astra Serif"/>
          <w:bCs/>
        </w:rPr>
      </w:pPr>
    </w:p>
    <w:p w:rsidR="004C57CE" w:rsidRPr="00430636" w:rsidRDefault="004C57CE" w:rsidP="004C57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         Комиссией принято РЕШЕНИЕ: </w:t>
      </w:r>
    </w:p>
    <w:p w:rsidR="004C57CE" w:rsidRDefault="004C57CE" w:rsidP="004C57CE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DB2CE2">
        <w:rPr>
          <w:rFonts w:ascii="PT Astra Serif" w:hAnsi="PT Astra Serif"/>
        </w:rPr>
        <w:t>ХХХ</w:t>
      </w:r>
      <w:bookmarkStart w:id="0" w:name="_GoBack"/>
      <w:bookmarkEnd w:id="0"/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 w:rsidRPr="00353492">
        <w:t>70:14:0300092:16647</w:t>
      </w:r>
      <w:r w:rsidRPr="00430636">
        <w:rPr>
          <w:rFonts w:ascii="PT Astra Serif" w:hAnsi="PT Astra Serif"/>
        </w:rPr>
        <w:t xml:space="preserve">, расположенного по адресу: </w:t>
      </w:r>
      <w:r w:rsidRPr="00353492">
        <w:t>Томская область, Томский район, Мирненское сельское поселение, п. Мирный, МКР «Мирный», д. 78</w:t>
      </w:r>
      <w:r>
        <w:t>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490" w:rsidRDefault="00FD0490">
      <w:r>
        <w:separator/>
      </w:r>
    </w:p>
  </w:endnote>
  <w:endnote w:type="continuationSeparator" w:id="0">
    <w:p w:rsidR="00FD0490" w:rsidRDefault="00FD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490" w:rsidRDefault="00FD0490">
      <w:r>
        <w:separator/>
      </w:r>
    </w:p>
  </w:footnote>
  <w:footnote w:type="continuationSeparator" w:id="0">
    <w:p w:rsidR="00FD0490" w:rsidRDefault="00FD0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4D05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CE2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297A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490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D5DA0E-1A33-4A7E-856B-AEF9866D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E0DA0-9F81-46DA-B70E-4D585AEB9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1122</TotalTime>
  <Pages>3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63</cp:revision>
  <cp:lastPrinted>2022-06-01T12:05:00Z</cp:lastPrinted>
  <dcterms:created xsi:type="dcterms:W3CDTF">2022-03-22T07:37:00Z</dcterms:created>
  <dcterms:modified xsi:type="dcterms:W3CDTF">2022-07-04T09:24:00Z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