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4C57C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BA6273">
        <w:rPr>
          <w:rFonts w:ascii="PT Astra Serif" w:hAnsi="PT Astra Serif"/>
          <w:b/>
          <w:bCs/>
        </w:rPr>
        <w:t>4</w:t>
      </w:r>
      <w:r w:rsidR="0043086E">
        <w:rPr>
          <w:rFonts w:ascii="PT Astra Serif" w:hAnsi="PT Astra Serif"/>
          <w:b/>
          <w:bCs/>
        </w:rPr>
        <w:t>6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2A0E32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081FF3">
      <w:pPr>
        <w:jc w:val="both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</w:t>
      </w:r>
      <w:r w:rsidR="0043086E">
        <w:rPr>
          <w:rFonts w:ascii="PT Astra Serif" w:hAnsi="PT Astra Serif"/>
        </w:rPr>
        <w:t>21</w:t>
      </w:r>
      <w:r w:rsidR="002A0E32">
        <w:rPr>
          <w:rFonts w:ascii="PT Astra Serif" w:hAnsi="PT Astra Serif"/>
        </w:rPr>
        <w:t>.06</w:t>
      </w:r>
      <w:r w:rsidR="00AF713B" w:rsidRPr="00AF713B">
        <w:rPr>
          <w:rFonts w:ascii="PT Astra Serif" w:hAnsi="PT Astra Serif"/>
        </w:rPr>
        <w:t>.2022 вх. № 2022/</w:t>
      </w:r>
      <w:r w:rsidR="002A0E32">
        <w:rPr>
          <w:rFonts w:ascii="PT Astra Serif" w:hAnsi="PT Astra Serif"/>
        </w:rPr>
        <w:t>1</w:t>
      </w:r>
      <w:r w:rsidR="00573CA9">
        <w:rPr>
          <w:rFonts w:ascii="PT Astra Serif" w:hAnsi="PT Astra Serif"/>
        </w:rPr>
        <w:t>1</w:t>
      </w:r>
      <w:r w:rsidR="0043086E">
        <w:rPr>
          <w:rFonts w:ascii="PT Astra Serif" w:hAnsi="PT Astra Serif"/>
        </w:rPr>
        <w:t>3</w:t>
      </w:r>
      <w:r w:rsidR="00AF713B" w:rsidRPr="00AF713B">
        <w:rPr>
          <w:rFonts w:ascii="PT Astra Serif" w:hAnsi="PT Astra Serif"/>
        </w:rPr>
        <w:t xml:space="preserve"> </w:t>
      </w:r>
      <w:r w:rsidR="00950939">
        <w:rPr>
          <w:rFonts w:ascii="PT Astra Serif" w:hAnsi="PT Astra Serif"/>
        </w:rPr>
        <w:t>ХХХ</w:t>
      </w:r>
      <w:r w:rsidR="00CF6B24"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950939">
        <w:rPr>
          <w:rFonts w:ascii="PT Astra Serif" w:hAnsi="PT Astra Serif"/>
        </w:rPr>
        <w:t>ХХХ</w:t>
      </w:r>
      <w:r w:rsidR="00081FF3" w:rsidRPr="00430636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43086E" w:rsidP="0078137D">
            <w:pPr>
              <w:pStyle w:val="af1"/>
            </w:pPr>
            <w:r w:rsidRPr="00A33560">
              <w:t>70:21:</w:t>
            </w:r>
            <w:r>
              <w:t>01</w:t>
            </w:r>
            <w:r w:rsidRPr="00A33560">
              <w:t>00008:4683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43086E" w:rsidP="00081FF3">
            <w:pPr>
              <w:jc w:val="both"/>
              <w:rPr>
                <w:rFonts w:ascii="PT Astra Serif" w:hAnsi="PT Astra Serif"/>
              </w:rPr>
            </w:pPr>
            <w:r w:rsidRPr="00A33560">
              <w:t>Томская область, г.</w:t>
            </w:r>
            <w:r>
              <w:t xml:space="preserve"> </w:t>
            </w:r>
            <w:r w:rsidRPr="00A33560">
              <w:t>Томск, ул. Грузинская, 12</w:t>
            </w:r>
            <w:r w:rsidR="00081FF3" w:rsidRPr="00430636">
              <w:rPr>
                <w:rFonts w:ascii="PT Astra Serif" w:hAnsi="PT Astra Serif"/>
              </w:rPr>
              <w:t>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43086E">
        <w:rPr>
          <w:rFonts w:ascii="PT Astra Serif" w:hAnsi="PT Astra Serif"/>
        </w:rPr>
        <w:t>8 601 000</w:t>
      </w:r>
      <w:r w:rsidR="0043086E" w:rsidRPr="00430636">
        <w:rPr>
          <w:rFonts w:ascii="PT Astra Serif" w:hAnsi="PT Astra Serif"/>
        </w:rPr>
        <w:t xml:space="preserve"> (</w:t>
      </w:r>
      <w:r w:rsidR="0043086E">
        <w:rPr>
          <w:rFonts w:ascii="PT Astra Serif" w:hAnsi="PT Astra Serif"/>
        </w:rPr>
        <w:t xml:space="preserve">восемь миллионов шестьсот одна </w:t>
      </w:r>
      <w:r w:rsidR="0043086E" w:rsidRPr="00430636">
        <w:rPr>
          <w:rFonts w:ascii="PT Astra Serif" w:hAnsi="PT Astra Serif"/>
        </w:rPr>
        <w:t>тысяч</w:t>
      </w:r>
      <w:r w:rsidR="0043086E">
        <w:rPr>
          <w:rFonts w:ascii="PT Astra Serif" w:hAnsi="PT Astra Serif"/>
        </w:rPr>
        <w:t>а</w:t>
      </w:r>
      <w:r w:rsidR="00AF713B" w:rsidRPr="00430636">
        <w:rPr>
          <w:rFonts w:ascii="PT Astra Serif" w:hAnsi="PT Astra Serif"/>
        </w:rPr>
        <w:t xml:space="preserve">) </w:t>
      </w:r>
      <w:r w:rsidR="008A1F49" w:rsidRPr="00430636">
        <w:rPr>
          <w:rFonts w:ascii="PT Astra Serif" w:hAnsi="PT Astra Serif"/>
        </w:rPr>
        <w:lastRenderedPageBreak/>
        <w:t xml:space="preserve">рублей, определенной по состоянию на </w:t>
      </w:r>
      <w:r w:rsidR="00573CA9">
        <w:rPr>
          <w:rFonts w:ascii="PT Astra Serif" w:hAnsi="PT Astra Serif"/>
        </w:rPr>
        <w:t>01</w:t>
      </w:r>
      <w:r w:rsidR="00AF713B" w:rsidRPr="00430636">
        <w:rPr>
          <w:rFonts w:ascii="PT Astra Serif" w:hAnsi="PT Astra Serif"/>
        </w:rPr>
        <w:t>.0</w:t>
      </w:r>
      <w:r w:rsidR="00081FF3">
        <w:rPr>
          <w:rFonts w:ascii="PT Astra Serif" w:hAnsi="PT Astra Serif"/>
        </w:rPr>
        <w:t>1</w:t>
      </w:r>
      <w:r w:rsidR="00AF713B">
        <w:rPr>
          <w:rFonts w:ascii="PT Astra Serif" w:hAnsi="PT Astra Serif"/>
        </w:rPr>
        <w:t>.20</w:t>
      </w:r>
      <w:r w:rsidR="00573CA9">
        <w:rPr>
          <w:rFonts w:ascii="PT Astra Serif" w:hAnsi="PT Astra Serif"/>
        </w:rPr>
        <w:t>19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544"/>
        <w:gridCol w:w="3544"/>
      </w:tblGrid>
      <w:tr w:rsidR="007507F4" w:rsidRPr="0078137D" w:rsidTr="00081FF3">
        <w:tc>
          <w:tcPr>
            <w:tcW w:w="2376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544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544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330EB" w:rsidRPr="005D3649" w:rsidTr="00B413B5">
        <w:tc>
          <w:tcPr>
            <w:tcW w:w="2376" w:type="dxa"/>
            <w:shd w:val="clear" w:color="auto" w:fill="auto"/>
          </w:tcPr>
          <w:p w:rsidR="000330EB" w:rsidRPr="001044CB" w:rsidRDefault="000330EB" w:rsidP="00B413B5">
            <w:pPr>
              <w:rPr>
                <w:rFonts w:ascii="PT Astra Serif" w:hAnsi="PT Astra Serif"/>
              </w:rPr>
            </w:pPr>
            <w:r w:rsidRPr="001044CB"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544" w:type="dxa"/>
            <w:shd w:val="clear" w:color="auto" w:fill="auto"/>
          </w:tcPr>
          <w:p w:rsidR="000330EB" w:rsidRPr="001044CB" w:rsidRDefault="000330EB" w:rsidP="00B413B5">
            <w:pPr>
              <w:rPr>
                <w:rFonts w:ascii="PT Astra Serif" w:hAnsi="PT Astra Serif"/>
              </w:rPr>
            </w:pPr>
            <w:r w:rsidRPr="001044CB">
              <w:rPr>
                <w:rFonts w:ascii="PT Astra Serif" w:hAnsi="PT Astra Serif"/>
              </w:rPr>
              <w:t>член некоммерческого партнерства «Межрегиональный союз оценщиков»</w:t>
            </w:r>
          </w:p>
        </w:tc>
        <w:tc>
          <w:tcPr>
            <w:tcW w:w="3544" w:type="dxa"/>
            <w:shd w:val="clear" w:color="auto" w:fill="auto"/>
          </w:tcPr>
          <w:p w:rsidR="000330EB" w:rsidRPr="005D3649" w:rsidRDefault="000330EB" w:rsidP="00B413B5">
            <w:pPr>
              <w:rPr>
                <w:rFonts w:ascii="PT Astra Serif" w:hAnsi="PT Astra Serif"/>
              </w:rPr>
            </w:pPr>
            <w:r w:rsidRPr="001044CB">
              <w:rPr>
                <w:rFonts w:ascii="PT Astra Serif" w:hAnsi="PT Astra Serif"/>
              </w:rPr>
              <w:t>Регистрационный номер 1057, от 13.03.2013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43086E" w:rsidRPr="00E34D67" w:rsidRDefault="0043086E" w:rsidP="0043086E">
      <w:pPr>
        <w:ind w:firstLine="567"/>
        <w:jc w:val="both"/>
        <w:rPr>
          <w:rFonts w:ascii="PT Astra Serif" w:hAnsi="PT Astra Serif"/>
          <w:bCs/>
        </w:rPr>
      </w:pPr>
      <w:r w:rsidRPr="00E34D67">
        <w:rPr>
          <w:rFonts w:ascii="PT Astra Serif" w:hAnsi="PT Astra Serif"/>
          <w:bCs/>
        </w:rPr>
        <w:t>По результатам анализа Отчета были выявлены следующие нарушения требований действующего на территории Российской Федерации законодательства об оценочной деятельности:</w:t>
      </w:r>
    </w:p>
    <w:p w:rsidR="0043086E" w:rsidRPr="00E34D67" w:rsidRDefault="0043086E" w:rsidP="0043086E">
      <w:pPr>
        <w:pStyle w:val="aff0"/>
        <w:spacing w:after="0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47E98">
        <w:rPr>
          <w:rFonts w:ascii="PT Astra Serif" w:hAnsi="PT Astra Serif"/>
          <w:bCs/>
          <w:sz w:val="24"/>
          <w:szCs w:val="24"/>
        </w:rPr>
        <w:t>Объект оценки представляет собой</w:t>
      </w:r>
      <w:r>
        <w:rPr>
          <w:rFonts w:ascii="PT Astra Serif" w:hAnsi="PT Astra Serif"/>
          <w:bCs/>
          <w:sz w:val="24"/>
          <w:szCs w:val="24"/>
        </w:rPr>
        <w:t xml:space="preserve"> отдельностоящее нежилое здание </w:t>
      </w:r>
      <w:r w:rsidRPr="000C4F8A">
        <w:rPr>
          <w:rFonts w:ascii="PT Astra Serif" w:hAnsi="PT Astra Serif"/>
          <w:bCs/>
          <w:sz w:val="24"/>
          <w:szCs w:val="24"/>
        </w:rPr>
        <w:t>торгового назначения с отделкой в хорошем состоянии согласно данным табл. 6.3.1-6.3.4 на стр. 10-11 Отчета и фотоматериалам на стр. 13 Отчета. Объекты-аналоги №№1-3, подобранные оценщиком на стр. 42 Отчета для расчета рыночной стоимости оцениваемого здания сравнительны</w:t>
      </w:r>
      <w:r>
        <w:rPr>
          <w:rFonts w:ascii="PT Astra Serif" w:hAnsi="PT Astra Serif"/>
          <w:bCs/>
          <w:sz w:val="24"/>
          <w:szCs w:val="24"/>
        </w:rPr>
        <w:t>м</w:t>
      </w:r>
      <w:r w:rsidRPr="000C4F8A">
        <w:rPr>
          <w:rFonts w:ascii="PT Astra Serif" w:hAnsi="PT Astra Serif"/>
          <w:bCs/>
          <w:sz w:val="24"/>
          <w:szCs w:val="24"/>
        </w:rPr>
        <w:t xml:space="preserve"> подходом и объекты-аналоги № 1 и 4 на стр. 48 Отчета, выбранные оценщиком для расчета размера арендной ставки в рамках доходного подхода, также представляют собой нежилые здания. Однако информация о </w:t>
      </w:r>
      <w:r w:rsidRPr="00303DF3">
        <w:rPr>
          <w:rFonts w:ascii="PT Astra Serif" w:hAnsi="PT Astra Serif"/>
          <w:bCs/>
          <w:sz w:val="24"/>
          <w:szCs w:val="24"/>
          <w:u w:val="single"/>
        </w:rPr>
        <w:t>назначении</w:t>
      </w:r>
      <w:r>
        <w:rPr>
          <w:rFonts w:ascii="PT Astra Serif" w:hAnsi="PT Astra Serif"/>
          <w:bCs/>
          <w:sz w:val="24"/>
          <w:szCs w:val="24"/>
        </w:rPr>
        <w:t xml:space="preserve"> объектов-аналогов №№ 2 и 3 для сравнительного подхода и объектов-аналогов №№1 и 4,</w:t>
      </w:r>
      <w:r w:rsidRPr="000C4F8A">
        <w:rPr>
          <w:rFonts w:ascii="PT Astra Serif" w:hAnsi="PT Astra Serif"/>
          <w:bCs/>
          <w:sz w:val="24"/>
          <w:szCs w:val="24"/>
        </w:rPr>
        <w:t xml:space="preserve"> в скриншотах объявлений из электронной базы недвижимости </w:t>
      </w:r>
      <w:r w:rsidRPr="000C4F8A">
        <w:rPr>
          <w:rFonts w:ascii="PT Astra Serif" w:hAnsi="PT Astra Serif"/>
          <w:bCs/>
          <w:sz w:val="24"/>
          <w:szCs w:val="24"/>
          <w:lang w:val="en-US"/>
        </w:rPr>
        <w:t>ORIS</w:t>
      </w:r>
      <w:r w:rsidRPr="000C4F8A">
        <w:rPr>
          <w:rFonts w:ascii="PT Astra Serif" w:hAnsi="PT Astra Serif"/>
          <w:bCs/>
          <w:sz w:val="24"/>
          <w:szCs w:val="24"/>
        </w:rPr>
        <w:t xml:space="preserve"> (ЭБН «</w:t>
      </w:r>
      <w:r w:rsidRPr="000C4F8A">
        <w:rPr>
          <w:rFonts w:ascii="PT Astra Serif" w:hAnsi="PT Astra Serif"/>
          <w:bCs/>
          <w:sz w:val="24"/>
          <w:szCs w:val="24"/>
          <w:lang w:val="en-US"/>
        </w:rPr>
        <w:t>ORIS</w:t>
      </w:r>
      <w:r w:rsidRPr="000C4F8A">
        <w:rPr>
          <w:rFonts w:ascii="PT Astra Serif" w:hAnsi="PT Astra Serif"/>
          <w:bCs/>
          <w:sz w:val="24"/>
          <w:szCs w:val="24"/>
        </w:rPr>
        <w:t xml:space="preserve">») в приложении на стр. </w:t>
      </w:r>
      <w:r>
        <w:rPr>
          <w:rFonts w:ascii="PT Astra Serif" w:hAnsi="PT Astra Serif"/>
          <w:bCs/>
          <w:sz w:val="24"/>
          <w:szCs w:val="24"/>
        </w:rPr>
        <w:t>59-65</w:t>
      </w:r>
      <w:r w:rsidRPr="000C4F8A">
        <w:rPr>
          <w:rFonts w:ascii="PT Astra Serif" w:hAnsi="PT Astra Serif"/>
          <w:bCs/>
          <w:sz w:val="24"/>
          <w:szCs w:val="24"/>
        </w:rPr>
        <w:t xml:space="preserve"> и в тексте Отчета не представлена. Также отсутствует информация о </w:t>
      </w:r>
      <w:r w:rsidRPr="00782CF1">
        <w:rPr>
          <w:rFonts w:ascii="PT Astra Serif" w:hAnsi="PT Astra Serif"/>
          <w:bCs/>
          <w:sz w:val="24"/>
          <w:szCs w:val="24"/>
          <w:u w:val="single"/>
        </w:rPr>
        <w:t>состоянии здания</w:t>
      </w:r>
      <w:r w:rsidRPr="000C4F8A">
        <w:rPr>
          <w:rFonts w:ascii="PT Astra Serif" w:hAnsi="PT Astra Serif"/>
          <w:bCs/>
          <w:sz w:val="24"/>
          <w:szCs w:val="24"/>
        </w:rPr>
        <w:t xml:space="preserve">, примененного оценщиком в качестве объекта-аналога №1 для расчета размера арендной ставки в рамках доходного подхода. Таким образом, нарушены требования </w:t>
      </w:r>
      <w:r w:rsidRPr="000C4F8A">
        <w:rPr>
          <w:rFonts w:ascii="PT Astra Serif" w:hAnsi="PT Astra Serif"/>
          <w:b/>
          <w:bCs/>
          <w:sz w:val="24"/>
          <w:szCs w:val="24"/>
        </w:rPr>
        <w:t>п. 5 ФСО №3 в части</w:t>
      </w:r>
      <w:r w:rsidRPr="000C4F8A">
        <w:rPr>
          <w:rFonts w:ascii="PT Astra Serif" w:hAnsi="PT Astra Serif"/>
          <w:bCs/>
          <w:sz w:val="24"/>
          <w:szCs w:val="24"/>
        </w:rPr>
        <w:t xml:space="preserve">: </w:t>
      </w:r>
      <w:r w:rsidRPr="00E34D67">
        <w:rPr>
          <w:rFonts w:ascii="PT Astra Serif" w:hAnsi="PT Astra Serif"/>
          <w:bCs/>
          <w:sz w:val="24"/>
          <w:szCs w:val="24"/>
        </w:rPr>
        <w:t xml:space="preserve">«содержание отчета об оценке не должно допускать неоднозначного толкования полученных результатов» и «в отчете должна быть изложена информация, существенная с точки зрения оценщика для определения стоимости объекта оценки», а также </w:t>
      </w:r>
      <w:r w:rsidRPr="00E34D67">
        <w:rPr>
          <w:rFonts w:ascii="PT Astra Serif" w:hAnsi="PT Astra Serif"/>
          <w:b/>
          <w:bCs/>
          <w:sz w:val="24"/>
          <w:szCs w:val="24"/>
        </w:rPr>
        <w:t>п. 22б ФСО №7</w:t>
      </w:r>
      <w:r w:rsidRPr="00E34D67">
        <w:rPr>
          <w:rFonts w:ascii="PT Astra Serif" w:hAnsi="PT Astra Serif"/>
          <w:bCs/>
          <w:sz w:val="24"/>
          <w:szCs w:val="24"/>
        </w:rPr>
        <w:t>: «в качестве объектов-аналогов используются объекты недвижимости, которые относятся к одному с оцениваемым объектом сегменту рынка и сопоставимы с ним по ценообразующим факторам. При этом для всех объектов недвижимости, включая оцениваемый, ценообразование по каждому из указанных факторов должно быть единообразным».</w:t>
      </w:r>
    </w:p>
    <w:p w:rsidR="0043086E" w:rsidRDefault="0043086E" w:rsidP="0043086E">
      <w:pPr>
        <w:pStyle w:val="aff0"/>
        <w:spacing w:after="0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Состояние оцениваемого здания оценщик позиционирует как хорошее, годное к эксплуатации. Данные информация отображена в Отчете на стр. 10-11. </w:t>
      </w:r>
      <w:r w:rsidRPr="00AF0946">
        <w:rPr>
          <w:rFonts w:ascii="PT Astra Serif" w:hAnsi="PT Astra Serif"/>
          <w:bCs/>
          <w:sz w:val="24"/>
          <w:szCs w:val="24"/>
        </w:rPr>
        <w:t>Здание, расположенное по адресу: г. Томск, ул. Айвазовского, 35, выбранное оценщиком в качестве объекта-аналога №3 в сравнительном подходе</w:t>
      </w:r>
      <w:r>
        <w:rPr>
          <w:rFonts w:ascii="PT Astra Serif" w:hAnsi="PT Astra Serif"/>
          <w:bCs/>
          <w:sz w:val="24"/>
          <w:szCs w:val="24"/>
        </w:rPr>
        <w:t>,</w:t>
      </w:r>
      <w:r w:rsidRPr="00AF0946">
        <w:rPr>
          <w:rFonts w:ascii="PT Astra Serif" w:hAnsi="PT Astra Serif"/>
          <w:bCs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>нуждается в ремонте</w:t>
      </w:r>
      <w:r w:rsidRPr="00AF0946">
        <w:rPr>
          <w:rFonts w:ascii="PT Astra Serif" w:hAnsi="PT Astra Serif"/>
          <w:bCs/>
          <w:sz w:val="24"/>
          <w:szCs w:val="24"/>
        </w:rPr>
        <w:t xml:space="preserve"> согласно скриншоту о</w:t>
      </w:r>
      <w:r>
        <w:rPr>
          <w:rFonts w:ascii="PT Astra Serif" w:hAnsi="PT Astra Serif"/>
          <w:bCs/>
          <w:sz w:val="24"/>
          <w:szCs w:val="24"/>
        </w:rPr>
        <w:t>бъявления</w:t>
      </w:r>
      <w:r w:rsidRPr="00AF0946">
        <w:rPr>
          <w:rFonts w:ascii="PT Astra Serif" w:hAnsi="PT Astra Serif"/>
          <w:bCs/>
          <w:sz w:val="24"/>
          <w:szCs w:val="24"/>
        </w:rPr>
        <w:t xml:space="preserve"> из ЭБН «</w:t>
      </w:r>
      <w:r w:rsidRPr="00AF0946">
        <w:rPr>
          <w:rFonts w:ascii="PT Astra Serif" w:hAnsi="PT Astra Serif"/>
          <w:bCs/>
          <w:sz w:val="24"/>
          <w:szCs w:val="24"/>
          <w:lang w:val="en-US"/>
        </w:rPr>
        <w:t>ORIS</w:t>
      </w:r>
      <w:r w:rsidRPr="00AF0946">
        <w:rPr>
          <w:rFonts w:ascii="PT Astra Serif" w:hAnsi="PT Astra Serif"/>
          <w:bCs/>
          <w:sz w:val="24"/>
          <w:szCs w:val="24"/>
        </w:rPr>
        <w:t xml:space="preserve">» на стр. 60 Отчета. В расчетной таблице на стр. 47 Отчета корректировка на состояние объекта </w:t>
      </w:r>
      <w:r>
        <w:rPr>
          <w:rFonts w:ascii="PT Astra Serif" w:hAnsi="PT Astra Serif"/>
          <w:bCs/>
          <w:sz w:val="24"/>
          <w:szCs w:val="24"/>
        </w:rPr>
        <w:t>применена в размере 1. Данный размер корректировки не отражает действительной разницы в техническом состоянии и состоянии отделки между объектом-аналогом №3 и оцениваемым зданием</w:t>
      </w:r>
      <w:r w:rsidRPr="00AF0946">
        <w:rPr>
          <w:rFonts w:ascii="PT Astra Serif" w:hAnsi="PT Astra Serif"/>
          <w:bCs/>
          <w:sz w:val="24"/>
          <w:szCs w:val="24"/>
        </w:rPr>
        <w:t xml:space="preserve">. Нарушены требования </w:t>
      </w:r>
      <w:r w:rsidRPr="00AF0946">
        <w:rPr>
          <w:rFonts w:ascii="PT Astra Serif" w:hAnsi="PT Astra Serif"/>
          <w:b/>
          <w:bCs/>
          <w:sz w:val="24"/>
          <w:szCs w:val="24"/>
        </w:rPr>
        <w:t>п. 5 ФСО №3 в части</w:t>
      </w:r>
      <w:r w:rsidRPr="00AF0946">
        <w:rPr>
          <w:rFonts w:ascii="PT Astra Serif" w:hAnsi="PT Astra Serif"/>
          <w:bCs/>
          <w:sz w:val="24"/>
          <w:szCs w:val="24"/>
        </w:rPr>
        <w:t xml:space="preserve">: </w:t>
      </w:r>
      <w:r w:rsidRPr="00E34D67">
        <w:rPr>
          <w:rFonts w:ascii="PT Astra Serif" w:hAnsi="PT Astra Serif"/>
          <w:bCs/>
          <w:sz w:val="24"/>
          <w:szCs w:val="24"/>
        </w:rPr>
        <w:t>«содержание отчета об оценке не должно вводить в заблуждение заказчика оценки и иных заинтересованных лиц (пользователи отчета об оценке…»</w:t>
      </w:r>
      <w:r w:rsidRPr="00AF0946">
        <w:rPr>
          <w:rFonts w:ascii="PT Astra Serif" w:hAnsi="PT Astra Serif"/>
          <w:bCs/>
          <w:sz w:val="24"/>
          <w:szCs w:val="24"/>
        </w:rPr>
        <w:t xml:space="preserve">, что привело </w:t>
      </w:r>
      <w:r>
        <w:rPr>
          <w:rFonts w:ascii="PT Astra Serif" w:hAnsi="PT Astra Serif"/>
          <w:bCs/>
          <w:sz w:val="24"/>
          <w:szCs w:val="24"/>
        </w:rPr>
        <w:t>к</w:t>
      </w:r>
      <w:r w:rsidRPr="00AF0946">
        <w:rPr>
          <w:rFonts w:ascii="PT Astra Serif" w:hAnsi="PT Astra Serif"/>
          <w:bCs/>
          <w:sz w:val="24"/>
          <w:szCs w:val="24"/>
        </w:rPr>
        <w:t xml:space="preserve"> занижению стоимости оцениваемого объекта в рамках сравнительного подхода.</w:t>
      </w:r>
    </w:p>
    <w:p w:rsidR="0043086E" w:rsidRDefault="0043086E" w:rsidP="0043086E">
      <w:pPr>
        <w:pStyle w:val="aff0"/>
        <w:spacing w:after="0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801DC4">
        <w:rPr>
          <w:rFonts w:ascii="PT Astra Serif" w:hAnsi="PT Astra Serif"/>
          <w:bCs/>
          <w:sz w:val="24"/>
          <w:szCs w:val="24"/>
        </w:rPr>
        <w:t xml:space="preserve">Объект оценки расположен в спальном </w:t>
      </w:r>
      <w:r w:rsidRPr="00782CF1">
        <w:rPr>
          <w:rFonts w:ascii="PT Astra Serif" w:hAnsi="PT Astra Serif"/>
          <w:bCs/>
          <w:sz w:val="24"/>
          <w:szCs w:val="24"/>
          <w:u w:val="single"/>
        </w:rPr>
        <w:t>районе многоэтажной и среднеэтажной застройки</w:t>
      </w:r>
      <w:r w:rsidRPr="00801DC4">
        <w:rPr>
          <w:rFonts w:ascii="PT Astra Serif" w:hAnsi="PT Astra Serif"/>
          <w:bCs/>
          <w:sz w:val="24"/>
          <w:szCs w:val="24"/>
        </w:rPr>
        <w:t xml:space="preserve">. Нежилое здание по адресу: Томская область, г. Томск, ул. Ракетная, 6б расположено в </w:t>
      </w:r>
      <w:r w:rsidRPr="00782CF1">
        <w:rPr>
          <w:rFonts w:ascii="PT Astra Serif" w:hAnsi="PT Astra Serif"/>
          <w:bCs/>
          <w:sz w:val="24"/>
          <w:szCs w:val="24"/>
          <w:u w:val="single"/>
        </w:rPr>
        <w:t>промзоне</w:t>
      </w:r>
      <w:r w:rsidRPr="00801DC4">
        <w:rPr>
          <w:rFonts w:ascii="PT Astra Serif" w:hAnsi="PT Astra Serif"/>
          <w:bCs/>
          <w:sz w:val="24"/>
          <w:szCs w:val="24"/>
        </w:rPr>
        <w:t xml:space="preserve">, в значительном удалении от жилой застройки, имеет неудобный </w:t>
      </w:r>
      <w:r w:rsidRPr="00801DC4">
        <w:rPr>
          <w:rFonts w:ascii="PT Astra Serif" w:hAnsi="PT Astra Serif"/>
          <w:bCs/>
          <w:sz w:val="24"/>
          <w:szCs w:val="24"/>
        </w:rPr>
        <w:lastRenderedPageBreak/>
        <w:t>подъезд ввиду организованного одностороннего движения по ул. Ракетной, имеет низкую проходимость</w:t>
      </w:r>
      <w:r>
        <w:rPr>
          <w:rFonts w:ascii="PT Astra Serif" w:hAnsi="PT Astra Serif"/>
          <w:bCs/>
          <w:sz w:val="24"/>
          <w:szCs w:val="24"/>
        </w:rPr>
        <w:t xml:space="preserve">. </w:t>
      </w:r>
    </w:p>
    <w:p w:rsidR="0043086E" w:rsidRPr="00801DC4" w:rsidRDefault="0043086E" w:rsidP="0043086E">
      <w:pPr>
        <w:ind w:firstLine="567"/>
        <w:jc w:val="both"/>
        <w:rPr>
          <w:rFonts w:ascii="PT Astra Serif" w:hAnsi="PT Astra Serif"/>
          <w:bCs/>
        </w:rPr>
      </w:pPr>
      <w:r w:rsidRPr="00801DC4">
        <w:rPr>
          <w:rFonts w:ascii="PT Astra Serif" w:hAnsi="PT Astra Serif"/>
          <w:bCs/>
        </w:rPr>
        <w:t xml:space="preserve">В расчётной табл. </w:t>
      </w:r>
      <w:r>
        <w:rPr>
          <w:rFonts w:ascii="PT Astra Serif" w:hAnsi="PT Astra Serif"/>
          <w:bCs/>
        </w:rPr>
        <w:t>н</w:t>
      </w:r>
      <w:r w:rsidRPr="00801DC4">
        <w:rPr>
          <w:rFonts w:ascii="PT Astra Serif" w:hAnsi="PT Astra Serif"/>
          <w:bCs/>
        </w:rPr>
        <w:t>а стр. 54 Отчета оценщик применяет корректировку на местоположение в размере 1. Корректировка применена ошибочно</w:t>
      </w:r>
      <w:r>
        <w:rPr>
          <w:rFonts w:ascii="PT Astra Serif" w:hAnsi="PT Astra Serif"/>
          <w:bCs/>
        </w:rPr>
        <w:t xml:space="preserve"> и не отражает разницы в местоположение между оцениваем зданием и представленным объектом-аналогом.</w:t>
      </w:r>
      <w:r w:rsidRPr="00801DC4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В данном случае в Отчете нарушены требования</w:t>
      </w:r>
      <w:r w:rsidRPr="00801DC4">
        <w:rPr>
          <w:rFonts w:ascii="PT Astra Serif" w:hAnsi="PT Astra Serif"/>
          <w:bCs/>
        </w:rPr>
        <w:t xml:space="preserve"> </w:t>
      </w:r>
      <w:r w:rsidRPr="00801DC4">
        <w:rPr>
          <w:rFonts w:ascii="PT Astra Serif" w:hAnsi="PT Astra Serif"/>
          <w:b/>
          <w:bCs/>
        </w:rPr>
        <w:t>п. 22б ФСО №7</w:t>
      </w:r>
      <w:r w:rsidRPr="00801DC4">
        <w:rPr>
          <w:rFonts w:ascii="PT Astra Serif" w:hAnsi="PT Astra Serif"/>
          <w:bCs/>
          <w:i/>
        </w:rPr>
        <w:t xml:space="preserve">: </w:t>
      </w:r>
      <w:r w:rsidRPr="00E34D67">
        <w:rPr>
          <w:rFonts w:ascii="PT Astra Serif" w:hAnsi="PT Astra Serif"/>
          <w:bCs/>
        </w:rPr>
        <w:t>«в качестве объектов-аналогов используются объекты недвижимости, которые относятся к одному с оцениваемым объектом сегменту рынка и сопоставимы с ним по ценообразующим факторам. При этом для всех объектов недвижимости, включая оцениваемый, ценообразование по каждому из указанных факторов должно быть единообразным» и</w:t>
      </w:r>
      <w:r w:rsidRPr="00E34D67">
        <w:rPr>
          <w:rFonts w:ascii="PT Astra Serif" w:hAnsi="PT Astra Serif"/>
          <w:b/>
          <w:bCs/>
        </w:rPr>
        <w:t xml:space="preserve"> п. 5 ФСО №3 в части</w:t>
      </w:r>
      <w:r w:rsidRPr="00E34D67">
        <w:rPr>
          <w:rFonts w:ascii="PT Astra Serif" w:hAnsi="PT Astra Serif"/>
          <w:bCs/>
        </w:rPr>
        <w:t>: «содержание отчета об оценке не должно вводить в заблуждение заказчика оценки и иных заинтересованных лиц (пользователи отчета об оценке…», что привело к занижению стоимости оцениваемого объекта в рамках доходного подхода</w:t>
      </w:r>
      <w:r w:rsidRPr="00801DC4">
        <w:rPr>
          <w:rFonts w:ascii="PT Astra Serif" w:hAnsi="PT Astra Serif"/>
          <w:bCs/>
        </w:rPr>
        <w:t>.</w:t>
      </w:r>
    </w:p>
    <w:p w:rsidR="0043086E" w:rsidRPr="000330EB" w:rsidRDefault="000330EB" w:rsidP="0043086E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330EB">
        <w:rPr>
          <w:rFonts w:ascii="PT Astra Serif" w:hAnsi="PT Astra Serif"/>
          <w:bCs/>
        </w:rPr>
        <w:t>Таким образом, исходя из выше указанного, выводы и результаты оценки в рассматриваемом Отчете не могут быть признаны достоверными. Выявленные недостатки Отчета и нарушения действующего законодательства об оценочной деятельности в Российской Федерации, по мнению специалистов ОГБУ «ТОЦИК», могли привести к значительному искажению итоговой рыночной стоимости объекта оценки.</w:t>
      </w:r>
    </w:p>
    <w:p w:rsidR="000330EB" w:rsidRDefault="000330EB" w:rsidP="0043086E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43086E" w:rsidRPr="00430636" w:rsidRDefault="0043086E" w:rsidP="0043086E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Комиссией принято РЕШЕНИЕ: </w:t>
      </w:r>
    </w:p>
    <w:p w:rsidR="0043086E" w:rsidRDefault="0043086E" w:rsidP="00370CEB">
      <w:pPr>
        <w:autoSpaceDE w:val="0"/>
        <w:autoSpaceDN w:val="0"/>
        <w:adjustRightInd w:val="0"/>
        <w:ind w:firstLine="567"/>
        <w:jc w:val="both"/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950939">
        <w:t>ХХХ</w:t>
      </w:r>
      <w:bookmarkStart w:id="0" w:name="_GoBack"/>
      <w:bookmarkEnd w:id="0"/>
      <w:r>
        <w:rPr>
          <w:rFonts w:ascii="PT Astra Serif" w:hAnsi="PT Astra Serif"/>
        </w:rPr>
        <w:t xml:space="preserve"> об</w:t>
      </w:r>
      <w:r w:rsidRPr="00430636">
        <w:rPr>
          <w:rFonts w:ascii="PT Astra Serif" w:hAnsi="PT Astra Serif"/>
        </w:rPr>
        <w:t xml:space="preserve"> оспаривании кадастровой стоимости объекта недвижимости с кадастровым номером </w:t>
      </w:r>
      <w:r w:rsidRPr="00A33560">
        <w:t>70:21:</w:t>
      </w:r>
      <w:r>
        <w:t>01</w:t>
      </w:r>
      <w:r w:rsidRPr="00A33560">
        <w:t>00008:4683</w:t>
      </w:r>
      <w:r w:rsidRPr="00430636">
        <w:rPr>
          <w:rFonts w:ascii="PT Astra Serif" w:hAnsi="PT Astra Serif"/>
        </w:rPr>
        <w:t xml:space="preserve">, расположенного по адресу: </w:t>
      </w:r>
      <w:r w:rsidRPr="00A33560">
        <w:t>Томская область, г.Томск, ул. Грузинская, 12</w:t>
      </w:r>
      <w:r>
        <w:t>.</w:t>
      </w:r>
    </w:p>
    <w:p w:rsidR="004C57CE" w:rsidRPr="00430636" w:rsidRDefault="004C57CE" w:rsidP="004C57CE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091" w:rsidRDefault="00301091">
      <w:r>
        <w:separator/>
      </w:r>
    </w:p>
  </w:endnote>
  <w:endnote w:type="continuationSeparator" w:id="0">
    <w:p w:rsidR="00301091" w:rsidRDefault="00301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091" w:rsidRDefault="00301091">
      <w:r>
        <w:separator/>
      </w:r>
    </w:p>
  </w:footnote>
  <w:footnote w:type="continuationSeparator" w:id="0">
    <w:p w:rsidR="00301091" w:rsidRDefault="00301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0EB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1FF3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1ABC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6D6C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1091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0CEB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86E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7CE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53F9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15CD"/>
    <w:rsid w:val="00563486"/>
    <w:rsid w:val="00565821"/>
    <w:rsid w:val="00566963"/>
    <w:rsid w:val="00566AB9"/>
    <w:rsid w:val="0057153E"/>
    <w:rsid w:val="00573CA9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2485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E7E72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0939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A6273"/>
    <w:rsid w:val="00BB0237"/>
    <w:rsid w:val="00BB1A1D"/>
    <w:rsid w:val="00BB5D4B"/>
    <w:rsid w:val="00BC2D9F"/>
    <w:rsid w:val="00BC2E71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5356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87FA9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1659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0F9A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975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A58188D-0314-4532-B9D7-A21CB7A29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2808D-3528-4144-BAE6-D92CF6CBC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1126</TotalTime>
  <Pages>3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70</cp:revision>
  <cp:lastPrinted>2022-06-01T12:05:00Z</cp:lastPrinted>
  <dcterms:created xsi:type="dcterms:W3CDTF">2022-03-22T07:37:00Z</dcterms:created>
  <dcterms:modified xsi:type="dcterms:W3CDTF">2022-07-04T09:26:00Z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