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7A0B14">
        <w:rPr>
          <w:rFonts w:ascii="PT Astra Serif" w:hAnsi="PT Astra Serif"/>
          <w:b/>
          <w:bCs/>
        </w:rPr>
        <w:t>36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347B3A">
      <w:pPr>
        <w:rPr>
          <w:rFonts w:ascii="PT Astra Serif" w:hAnsi="PT Astra Serif"/>
          <w:b/>
          <w:bCs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2582"/>
        <w:gridCol w:w="498"/>
        <w:gridCol w:w="506"/>
        <w:gridCol w:w="500"/>
        <w:gridCol w:w="738"/>
        <w:gridCol w:w="4747"/>
      </w:tblGrid>
      <w:tr w:rsidR="007A0B14" w:rsidRPr="0078137D" w:rsidTr="007A0B14">
        <w:tc>
          <w:tcPr>
            <w:tcW w:w="4824" w:type="dxa"/>
            <w:gridSpan w:val="5"/>
            <w:vMerge w:val="restart"/>
            <w:shd w:val="clear" w:color="auto" w:fill="auto"/>
          </w:tcPr>
          <w:p w:rsidR="007A0B14" w:rsidRDefault="00347B3A" w:rsidP="007A0B14">
            <w:r>
              <w:t>29 июня 2022 года</w:t>
            </w:r>
          </w:p>
          <w:p w:rsidR="00347B3A" w:rsidRDefault="00347B3A" w:rsidP="007A0B14">
            <w:r>
              <w:t>11.00ч</w:t>
            </w:r>
          </w:p>
          <w:p w:rsidR="00347B3A" w:rsidRDefault="00347B3A" w:rsidP="007A0B14"/>
        </w:tc>
        <w:tc>
          <w:tcPr>
            <w:tcW w:w="4747" w:type="dxa"/>
            <w:shd w:val="clear" w:color="auto" w:fill="auto"/>
          </w:tcPr>
          <w:p w:rsidR="007A0B14" w:rsidRDefault="00347B3A" w:rsidP="007A0B14">
            <w:r>
              <w:t>Место проведения: г.Томск, пр.Кирова, д.20</w:t>
            </w:r>
          </w:p>
        </w:tc>
      </w:tr>
      <w:tr w:rsidR="00D23FC4" w:rsidRPr="0078137D" w:rsidTr="007A0B14">
        <w:tc>
          <w:tcPr>
            <w:tcW w:w="482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747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7A0B14">
        <w:tc>
          <w:tcPr>
            <w:tcW w:w="9571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7A0B14">
        <w:tc>
          <w:tcPr>
            <w:tcW w:w="3080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1006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485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7A0B14">
        <w:tc>
          <w:tcPr>
            <w:tcW w:w="3080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1006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485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7A0B14">
        <w:tc>
          <w:tcPr>
            <w:tcW w:w="3080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1006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485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7A0B14">
        <w:tc>
          <w:tcPr>
            <w:tcW w:w="3080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1006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485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A0B14" w:rsidRPr="0078137D" w:rsidTr="007A0B14">
        <w:trPr>
          <w:trHeight w:val="93"/>
        </w:trPr>
        <w:tc>
          <w:tcPr>
            <w:tcW w:w="3080" w:type="dxa"/>
            <w:gridSpan w:val="2"/>
            <w:shd w:val="clear" w:color="auto" w:fill="auto"/>
          </w:tcPr>
          <w:p w:rsidR="007A0B14" w:rsidRPr="0078137D" w:rsidRDefault="007A0B14" w:rsidP="0078137D">
            <w:pPr>
              <w:pStyle w:val="af1"/>
            </w:pPr>
          </w:p>
        </w:tc>
        <w:tc>
          <w:tcPr>
            <w:tcW w:w="1006" w:type="dxa"/>
            <w:gridSpan w:val="2"/>
            <w:shd w:val="clear" w:color="auto" w:fill="auto"/>
          </w:tcPr>
          <w:p w:rsidR="007A0B14" w:rsidRPr="0078137D" w:rsidRDefault="007A0B14" w:rsidP="0078137D">
            <w:pPr>
              <w:pStyle w:val="af1"/>
            </w:pPr>
          </w:p>
        </w:tc>
        <w:tc>
          <w:tcPr>
            <w:tcW w:w="5485" w:type="dxa"/>
            <w:gridSpan w:val="2"/>
            <w:shd w:val="clear" w:color="auto" w:fill="auto"/>
          </w:tcPr>
          <w:p w:rsidR="007A0B14" w:rsidRPr="0078137D" w:rsidRDefault="007A0B14" w:rsidP="0078137D">
            <w:pPr>
              <w:pStyle w:val="af1"/>
            </w:pPr>
          </w:p>
        </w:tc>
      </w:tr>
      <w:tr w:rsidR="007A0B14" w:rsidRPr="0078137D" w:rsidTr="007A0B14">
        <w:tc>
          <w:tcPr>
            <w:tcW w:w="3080" w:type="dxa"/>
            <w:gridSpan w:val="2"/>
            <w:shd w:val="clear" w:color="auto" w:fill="auto"/>
          </w:tcPr>
          <w:p w:rsidR="007A0B14" w:rsidRPr="0078137D" w:rsidRDefault="007A0B1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006" w:type="dxa"/>
            <w:gridSpan w:val="2"/>
            <w:shd w:val="clear" w:color="auto" w:fill="auto"/>
          </w:tcPr>
          <w:p w:rsidR="007A0B14" w:rsidRPr="0078137D" w:rsidRDefault="007A0B14" w:rsidP="0078137D">
            <w:pPr>
              <w:pStyle w:val="af1"/>
            </w:pPr>
          </w:p>
        </w:tc>
        <w:tc>
          <w:tcPr>
            <w:tcW w:w="5485" w:type="dxa"/>
            <w:gridSpan w:val="2"/>
            <w:shd w:val="clear" w:color="auto" w:fill="auto"/>
          </w:tcPr>
          <w:p w:rsidR="007A0B14" w:rsidRPr="0078137D" w:rsidRDefault="007A0B14" w:rsidP="0078137D">
            <w:pPr>
              <w:pStyle w:val="af1"/>
            </w:pPr>
          </w:p>
        </w:tc>
      </w:tr>
      <w:tr w:rsidR="007A0B14" w:rsidRPr="0078137D" w:rsidTr="007A0B14">
        <w:tc>
          <w:tcPr>
            <w:tcW w:w="2582" w:type="dxa"/>
            <w:shd w:val="clear" w:color="auto" w:fill="auto"/>
          </w:tcPr>
          <w:p w:rsidR="007A0B14" w:rsidRPr="0078137D" w:rsidRDefault="007A0B1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004" w:type="dxa"/>
            <w:gridSpan w:val="2"/>
            <w:shd w:val="clear" w:color="auto" w:fill="auto"/>
          </w:tcPr>
          <w:p w:rsidR="007A0B14" w:rsidRPr="0078137D" w:rsidRDefault="007A0B1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85" w:type="dxa"/>
            <w:gridSpan w:val="3"/>
            <w:shd w:val="clear" w:color="auto" w:fill="auto"/>
          </w:tcPr>
          <w:p w:rsidR="007A0B14" w:rsidRPr="0078137D" w:rsidRDefault="007A0B14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A0B14" w:rsidRPr="0061086B" w:rsidRDefault="007A0B14" w:rsidP="007A0B14">
      <w:pPr>
        <w:pStyle w:val="aff0"/>
        <w:numPr>
          <w:ilvl w:val="0"/>
          <w:numId w:val="46"/>
        </w:numPr>
        <w:autoSpaceDE w:val="0"/>
        <w:autoSpaceDN w:val="0"/>
        <w:adjustRightInd w:val="0"/>
        <w:spacing w:line="240" w:lineRule="auto"/>
        <w:ind w:left="-142" w:firstLine="106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 xml:space="preserve">На заседании комиссии рассмотрено заявление об оспаривании результатов определения кадастровой стоимости объекта недвижимости (далее – заявление), поступившее в комиссию </w:t>
      </w:r>
      <w:r>
        <w:rPr>
          <w:rFonts w:ascii="PT Astra Serif" w:hAnsi="PT Astra Serif"/>
          <w:sz w:val="24"/>
          <w:szCs w:val="24"/>
        </w:rPr>
        <w:t>04</w:t>
      </w:r>
      <w:r w:rsidRPr="0061086B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</w:t>
      </w:r>
      <w:r w:rsidRPr="0061086B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117</w:t>
      </w:r>
      <w:r w:rsidRPr="0061086B">
        <w:rPr>
          <w:rFonts w:ascii="PT Astra Serif" w:hAnsi="PT Astra Serif"/>
          <w:sz w:val="24"/>
          <w:szCs w:val="24"/>
        </w:rPr>
        <w:t xml:space="preserve"> от</w:t>
      </w:r>
      <w:r>
        <w:rPr>
          <w:rFonts w:ascii="PT Astra Serif" w:hAnsi="PT Astra Serif"/>
          <w:sz w:val="24"/>
          <w:szCs w:val="24"/>
        </w:rPr>
        <w:t xml:space="preserve"> </w:t>
      </w:r>
      <w:r w:rsidR="00E712E6">
        <w:rPr>
          <w:rFonts w:ascii="PT Astra Serif" w:hAnsi="PT Astra Serif"/>
          <w:sz w:val="24"/>
          <w:szCs w:val="24"/>
        </w:rPr>
        <w:t>ХХХ</w:t>
      </w:r>
      <w:r w:rsidRPr="0061086B">
        <w:rPr>
          <w:rFonts w:ascii="PT Astra Serif" w:hAnsi="PT Astra Serif"/>
          <w:sz w:val="24"/>
          <w:szCs w:val="24"/>
        </w:rPr>
        <w:t xml:space="preserve">, </w:t>
      </w:r>
      <w:r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Pr="0061086B">
        <w:rPr>
          <w:rFonts w:ascii="PT Astra Serif" w:hAnsi="PT Astra Serif"/>
          <w:sz w:val="24"/>
          <w:szCs w:val="24"/>
        </w:rPr>
        <w:t xml:space="preserve">дрес (место нахождения): </w:t>
      </w:r>
      <w:r w:rsidR="00E712E6">
        <w:rPr>
          <w:rFonts w:ascii="PT Astra Serif" w:hAnsi="PT Astra Serif"/>
          <w:sz w:val="24"/>
          <w:szCs w:val="24"/>
        </w:rPr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7A0B14" w:rsidRPr="0061086B" w:rsidTr="00CB284C">
        <w:tc>
          <w:tcPr>
            <w:tcW w:w="4668" w:type="dxa"/>
            <w:shd w:val="clear" w:color="auto" w:fill="auto"/>
            <w:vAlign w:val="center"/>
          </w:tcPr>
          <w:p w:rsidR="007A0B14" w:rsidRPr="0061086B" w:rsidRDefault="007A0B14" w:rsidP="00CB284C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7A0B14" w:rsidRPr="0061086B" w:rsidRDefault="007A0B14" w:rsidP="00CB284C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7A0B14" w:rsidRPr="0061086B" w:rsidTr="00CB284C">
        <w:tc>
          <w:tcPr>
            <w:tcW w:w="4668" w:type="dxa"/>
            <w:shd w:val="clear" w:color="auto" w:fill="auto"/>
          </w:tcPr>
          <w:p w:rsidR="007A0B14" w:rsidRPr="0061086B" w:rsidRDefault="007A0B14" w:rsidP="00CB284C">
            <w:pPr>
              <w:pStyle w:val="af1"/>
            </w:pPr>
            <w:r w:rsidRPr="00580067">
              <w:t>70:21:0100032:273</w:t>
            </w:r>
          </w:p>
        </w:tc>
        <w:tc>
          <w:tcPr>
            <w:tcW w:w="4676" w:type="dxa"/>
            <w:shd w:val="clear" w:color="auto" w:fill="auto"/>
          </w:tcPr>
          <w:p w:rsidR="007A0B14" w:rsidRPr="0061086B" w:rsidRDefault="007A0B14" w:rsidP="00CB284C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80067">
              <w:rPr>
                <w:rFonts w:ascii="PT Astra Serif" w:hAnsi="PT Astra Serif"/>
                <w:sz w:val="24"/>
                <w:szCs w:val="24"/>
              </w:rPr>
              <w:t>Томская область, г. Томск, ул. Беринга, 10</w:t>
            </w:r>
          </w:p>
        </w:tc>
      </w:tr>
    </w:tbl>
    <w:p w:rsidR="007A0B14" w:rsidRPr="007A0B14" w:rsidRDefault="007A0B14" w:rsidP="007A0B14">
      <w:pPr>
        <w:pStyle w:val="aff0"/>
        <w:ind w:left="927"/>
        <w:jc w:val="both"/>
        <w:rPr>
          <w:rFonts w:ascii="PT Astra Serif" w:hAnsi="PT Astra Serif"/>
        </w:rPr>
      </w:pPr>
    </w:p>
    <w:p w:rsidR="007A0B14" w:rsidRDefault="007A0B14" w:rsidP="00B50389">
      <w:pPr>
        <w:pStyle w:val="aff0"/>
        <w:numPr>
          <w:ilvl w:val="0"/>
          <w:numId w:val="46"/>
        </w:numPr>
        <w:ind w:left="0" w:firstLine="927"/>
        <w:jc w:val="both"/>
        <w:rPr>
          <w:rFonts w:ascii="PT Astra Serif" w:hAnsi="PT Astra Serif"/>
        </w:rPr>
      </w:pPr>
      <w:r w:rsidRPr="007A0B14">
        <w:rPr>
          <w:rFonts w:ascii="PT Astra Serif" w:hAnsi="PT Astra Serif"/>
        </w:rPr>
        <w:t>Основание подачи заявления: установление в отношении объекта недвижимости его рыночной стоимости в размере 461 895 000 (четыреста шестьдесят один миллион восемьсот девяносто пять тысяч) рублей, определенной по состоянию на 22.02.2019 (далее – рыночная стоимость объекта недвижимости) в отчете об оценке, составленном оценщиком:</w:t>
      </w:r>
      <w:r w:rsidR="00B50389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B50389" w:rsidRPr="0078137D" w:rsidTr="00CB284C">
        <w:tc>
          <w:tcPr>
            <w:tcW w:w="2981" w:type="dxa"/>
            <w:shd w:val="clear" w:color="auto" w:fill="auto"/>
          </w:tcPr>
          <w:p w:rsidR="00B50389" w:rsidRPr="0078137D" w:rsidRDefault="00B50389" w:rsidP="00B50389">
            <w:pPr>
              <w:pStyle w:val="af1"/>
            </w:pPr>
            <w:r w:rsidRPr="0078137D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B50389" w:rsidRPr="0078137D" w:rsidRDefault="00B50389" w:rsidP="00CB284C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B50389" w:rsidRPr="0078137D" w:rsidRDefault="00B50389" w:rsidP="00CB284C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50389" w:rsidRPr="005D3649" w:rsidTr="00CB284C">
        <w:tc>
          <w:tcPr>
            <w:tcW w:w="2981" w:type="dxa"/>
            <w:shd w:val="clear" w:color="auto" w:fill="auto"/>
          </w:tcPr>
          <w:p w:rsidR="00B50389" w:rsidRPr="005D3649" w:rsidRDefault="00B50389" w:rsidP="00CB28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B50389" w:rsidRPr="005D3649" w:rsidRDefault="00B50389" w:rsidP="00CB284C">
            <w:pPr>
              <w:rPr>
                <w:rFonts w:ascii="PT Astra Serif" w:hAnsi="PT Astra Serif"/>
              </w:rPr>
            </w:pPr>
            <w:r w:rsidRPr="005D3649">
              <w:rPr>
                <w:rFonts w:ascii="PT Astra Serif" w:hAnsi="PT Astra Serif"/>
              </w:rPr>
              <w:t>член СРО РОО</w:t>
            </w:r>
          </w:p>
        </w:tc>
        <w:tc>
          <w:tcPr>
            <w:tcW w:w="3069" w:type="dxa"/>
            <w:shd w:val="clear" w:color="auto" w:fill="auto"/>
          </w:tcPr>
          <w:p w:rsidR="00B50389" w:rsidRPr="005D3649" w:rsidRDefault="00B50389" w:rsidP="00CB284C">
            <w:pPr>
              <w:rPr>
                <w:rFonts w:ascii="PT Astra Serif" w:hAnsi="PT Astra Serif"/>
              </w:rPr>
            </w:pPr>
            <w:r w:rsidRPr="005D3649">
              <w:rPr>
                <w:rFonts w:ascii="PT Astra Serif" w:hAnsi="PT Astra Serif"/>
              </w:rPr>
              <w:t>Реестровый номер 00</w:t>
            </w:r>
            <w:r>
              <w:rPr>
                <w:rFonts w:ascii="PT Astra Serif" w:hAnsi="PT Astra Serif"/>
              </w:rPr>
              <w:t>8873</w:t>
            </w:r>
            <w:r w:rsidRPr="005D3649">
              <w:rPr>
                <w:rFonts w:ascii="PT Astra Serif" w:hAnsi="PT Astra Serif"/>
              </w:rPr>
              <w:t>, дата включения в реестр – 22.07.2020</w:t>
            </w:r>
          </w:p>
        </w:tc>
      </w:tr>
    </w:tbl>
    <w:p w:rsidR="00B50389" w:rsidRDefault="00B50389" w:rsidP="00B5038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B50389" w:rsidRPr="00B50389" w:rsidRDefault="00B50389" w:rsidP="00B50389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bCs/>
        </w:rPr>
      </w:pPr>
      <w:r w:rsidRPr="00B50389">
        <w:rPr>
          <w:rFonts w:ascii="PT Astra Serif" w:hAnsi="PT Astra Serif"/>
          <w:bCs/>
        </w:rPr>
        <w:t>В результате рассмотрения заявления установлено:</w:t>
      </w:r>
    </w:p>
    <w:p w:rsidR="00B50389" w:rsidRPr="00901D30" w:rsidRDefault="00B50389" w:rsidP="00B50389">
      <w:pPr>
        <w:pStyle w:val="aff0"/>
        <w:tabs>
          <w:tab w:val="left" w:pos="851"/>
          <w:tab w:val="num" w:pos="2520"/>
        </w:tabs>
        <w:spacing w:after="0" w:line="240" w:lineRule="auto"/>
        <w:ind w:left="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ab/>
      </w: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 xml:space="preserve">Отчет оценщика содержит в своих расчетах выделение налога на добавленную стоимость (страницы 3 и 77 Отчета), что противоречит нормам законодательства об оценочной деятельности. 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В соответствии с пунктом 1 статьи 8 Налогового кодекса Российской Федерации (далее – НК РФ), под налогом понимается обязательный, индивидуально безвозмездный платеж, взимаемый с организаций и физических лиц в форме отчуждения принадлежащих им на праве собственности, хозяйственного ведения или оперативного управления денежных средств в целях финансового обеспечения деятельности государства и (или) муниципальных образований.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Из пунктов 1 и 3 статьи 38, пункта 1 статьи 39 НК РФ следует, что объектом налогообложения является, в частности, реализация товаров (передача на возмездной основе права собственности на товары), имеющая стоимостную, количественную или физическую характеристики, с наличием которой законодательство о налогах и сборах связывает возникновение у налогоплательщика обязанности по уплате налога. Товаром для целей налогообложения признается любое имущество, реализуемое либо предназначенное для реализации.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Для целей налогообложения принимается цена товаров, указанная сторонами сделки. Пока не доказано обратное, предполагается, что эта цена соответствует уровню рыночных цен. Рыночная цена определяется с учетом положений, предусмотренных пунктами 4 - 11 статьи 40 НК РФ. При этом учитываются обычные при заключении сделок между невзаимозависимыми лицами надбавки к цене или скидки (пункты 1, 3 статьи 40 НК РФ).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В соответствии с пунктом 1 статьи 166 НК РФ налог на добавленную стоимость исчисляется как соответствующая налоговой ставке процентная доля налоговой базы, а при раздельном учете как сумма налога, полученная в результате сложения сумм налогов, исчисляемых отдельно как соответствующие налоговым ставкам процентные доли соответствующих налоговых баз.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Согласно пункту 1 статьи 154 НК РФ налоговая база при реализации налогоплательщиком товаров (работ, услуг) определяется как стоимость этих товаров (работ, услуг), исчисленная исходя из цен, определяемых в соответствии со статьей 1053 НК РФ, с учетом акцизов (для подакцизных товаров) и без включения в них налога.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ind w:hanging="6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Анализ приведенных норм в их совокупности и взаимной связи позволяет сделать вывод о том, что ни законодательство об оценочной деятельности, ни налоговое законодательство не предусматривает, что при определении рыночной стоимости объекта недвижимости для целей установления кадастровой стоимости налог на добавленную стоимость является ценообразующим фактором и увеличивает ее размер.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В свою очередь, по общему правилу, реализация объекта недвижимости по рыночной стоимости может являться объектом налогообложения налогом на добавленную стоимость и в этом случае налог на добавленную стоимость подлежит определению по правилам главы 21 НК РФ.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Следовательно, определение рыночной стоимости с выделением в ее составе налога на добавленную стоимость противоречит приведенным нормам законодательства об оценочной деятельности.</w:t>
      </w:r>
    </w:p>
    <w:p w:rsidR="00B50389" w:rsidRPr="00B50389" w:rsidRDefault="00B50389" w:rsidP="00B50389">
      <w:pPr>
        <w:tabs>
          <w:tab w:val="num" w:pos="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B50389">
        <w:rPr>
          <w:rFonts w:ascii="PT Astra Serif" w:hAnsi="PT Astra Serif"/>
        </w:rPr>
        <w:t xml:space="preserve">           Указанная позиция нашла отражение и в судебной практике (Кассационное определение Судебной коллегии по административным делам Верховного Суда Российской Федерации от 05.02.2020 № 5-КА19-66, Кассационное определение Судебной коллегии по административным делам Верховного Суда Российской Федерации от </w:t>
      </w:r>
      <w:r w:rsidRPr="00B50389">
        <w:rPr>
          <w:rFonts w:ascii="PT Astra Serif" w:hAnsi="PT Astra Serif"/>
        </w:rPr>
        <w:lastRenderedPageBreak/>
        <w:t>19.02.2020 № 5-КА19-54, пункт 52 Обзора судебной практики Верховного Суда РФ № 1 (2020), утвержденного Президиумом Верховного Суда РФ 10 июня 2020 года)).</w:t>
      </w:r>
    </w:p>
    <w:p w:rsidR="00B50389" w:rsidRPr="00B50389" w:rsidRDefault="00B50389" w:rsidP="00B50389">
      <w:pPr>
        <w:tabs>
          <w:tab w:val="num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B50389">
        <w:rPr>
          <w:rFonts w:ascii="PT Astra Serif" w:hAnsi="PT Astra Serif"/>
        </w:rPr>
        <w:t>Таким образом, 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B50389" w:rsidRPr="00B50389" w:rsidRDefault="00B50389" w:rsidP="00B50389">
      <w:pPr>
        <w:tabs>
          <w:tab w:val="num" w:pos="0"/>
        </w:tabs>
        <w:ind w:left="567"/>
        <w:jc w:val="both"/>
        <w:rPr>
          <w:rFonts w:ascii="PT Astra Serif" w:hAnsi="PT Astra Serif"/>
        </w:rPr>
      </w:pP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 xml:space="preserve">Комиссией </w:t>
      </w:r>
      <w:r>
        <w:rPr>
          <w:rFonts w:ascii="PT Astra Serif" w:eastAsia="Times New Roman" w:hAnsi="PT Astra Serif"/>
          <w:sz w:val="24"/>
          <w:szCs w:val="24"/>
          <w:lang w:eastAsia="ru-RU"/>
        </w:rPr>
        <w:t>принято РЕШЕНИЕ</w:t>
      </w: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: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0389" w:rsidRPr="00430636" w:rsidRDefault="007A7278" w:rsidP="00B50389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="00B50389" w:rsidRPr="00430636">
        <w:rPr>
          <w:rFonts w:ascii="PT Astra Serif" w:hAnsi="PT Astra Serif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</w:t>
      </w:r>
      <w:r>
        <w:rPr>
          <w:rFonts w:ascii="PT Astra Serif" w:hAnsi="PT Astra Serif"/>
        </w:rPr>
        <w:t xml:space="preserve">заявление </w:t>
      </w:r>
      <w:r w:rsidR="00E712E6">
        <w:rPr>
          <w:rFonts w:ascii="PT Astra Serif" w:hAnsi="PT Astra Serif"/>
        </w:rPr>
        <w:t>ХХХ</w:t>
      </w:r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901D30">
        <w:rPr>
          <w:rFonts w:ascii="PT Astra Serif" w:hAnsi="PT Astra Serif"/>
        </w:rPr>
        <w:t>70:21:0100032:273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901D30">
        <w:rPr>
          <w:rFonts w:ascii="PT Astra Serif" w:hAnsi="PT Astra Serif"/>
        </w:rPr>
        <w:t>Томская область, г. Томск, ул. Беринга, 10</w:t>
      </w:r>
      <w:r>
        <w:rPr>
          <w:rFonts w:ascii="PT Astra Serif" w:hAnsi="PT Astra Serif"/>
        </w:rPr>
        <w:t>,</w:t>
      </w:r>
      <w:r w:rsidR="00B50389" w:rsidRPr="0043063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 связи с тем, что содержание Отчета об оценке не соответствует пункту 4 Федерального стандарта оценки «Цель оценки и виды стоимости (ФСО №2)», пункту 5 Федерального стандарта оценки «Общие понятия оценки, подходы и требования к проведению оценки (ФСО №1)»</w:t>
      </w:r>
      <w:r w:rsidR="00B50389" w:rsidRPr="00430636">
        <w:rPr>
          <w:rFonts w:ascii="PT Astra Serif" w:hAnsi="PT Astra Serif"/>
        </w:rPr>
        <w:t>.</w:t>
      </w:r>
    </w:p>
    <w:p w:rsidR="00B50389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0" w:name="_GoBack"/>
      <w:bookmarkEnd w:id="0"/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Результаты голосования за принятое решение: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Малиновская Елена Юрьевна – за;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Мельникова Екатерина Феликсовна – против;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Чадаева Инна Валерьевна – за.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Решение принято единогласно.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  <w:r w:rsidRPr="00901D30">
        <w:rPr>
          <w:rFonts w:ascii="PT Astra Serif" w:eastAsia="Times New Roman" w:hAnsi="PT Astra Serif"/>
          <w:sz w:val="24"/>
          <w:szCs w:val="24"/>
          <w:lang w:eastAsia="ru-RU"/>
        </w:rPr>
        <w:t>Решений об отводах не принималось.</w:t>
      </w: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0389" w:rsidRPr="00901D30" w:rsidRDefault="00B50389" w:rsidP="00B50389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0389" w:rsidRPr="00430636" w:rsidRDefault="00B50389" w:rsidP="00B5038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Председатель комиссии                                                                                Е.Ю. Малиновская</w:t>
      </w:r>
    </w:p>
    <w:p w:rsidR="00B50389" w:rsidRPr="00B50389" w:rsidRDefault="00B50389" w:rsidP="00B50389">
      <w:pPr>
        <w:pStyle w:val="Default"/>
        <w:ind w:firstLine="709"/>
        <w:jc w:val="both"/>
        <w:rPr>
          <w:rFonts w:ascii="PT Astra Serif" w:hAnsi="PT Astra Serif"/>
        </w:rPr>
      </w:pPr>
    </w:p>
    <w:sectPr w:rsidR="00B50389" w:rsidRPr="00B50389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F1E" w:rsidRDefault="00836F1E">
      <w:r>
        <w:separator/>
      </w:r>
    </w:p>
  </w:endnote>
  <w:endnote w:type="continuationSeparator" w:id="0">
    <w:p w:rsidR="00836F1E" w:rsidRDefault="0083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F1E" w:rsidRDefault="00836F1E">
      <w:r>
        <w:separator/>
      </w:r>
    </w:p>
  </w:footnote>
  <w:footnote w:type="continuationSeparator" w:id="0">
    <w:p w:rsidR="00836F1E" w:rsidRDefault="00836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2182C51"/>
    <w:multiLevelType w:val="hybridMultilevel"/>
    <w:tmpl w:val="EA6CEBD0"/>
    <w:lvl w:ilvl="0" w:tplc="5F50E9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6F93929"/>
    <w:multiLevelType w:val="hybridMultilevel"/>
    <w:tmpl w:val="3C8293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4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18"/>
  </w:num>
  <w:num w:numId="4">
    <w:abstractNumId w:val="8"/>
  </w:num>
  <w:num w:numId="5">
    <w:abstractNumId w:val="9"/>
  </w:num>
  <w:num w:numId="6">
    <w:abstractNumId w:val="33"/>
  </w:num>
  <w:num w:numId="7">
    <w:abstractNumId w:val="16"/>
  </w:num>
  <w:num w:numId="8">
    <w:abstractNumId w:val="25"/>
  </w:num>
  <w:num w:numId="9">
    <w:abstractNumId w:val="24"/>
  </w:num>
  <w:num w:numId="10">
    <w:abstractNumId w:val="29"/>
  </w:num>
  <w:num w:numId="11">
    <w:abstractNumId w:val="17"/>
  </w:num>
  <w:num w:numId="12">
    <w:abstractNumId w:val="39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6"/>
  </w:num>
  <w:num w:numId="15">
    <w:abstractNumId w:val="2"/>
  </w:num>
  <w:num w:numId="16">
    <w:abstractNumId w:val="12"/>
  </w:num>
  <w:num w:numId="17">
    <w:abstractNumId w:val="37"/>
  </w:num>
  <w:num w:numId="18">
    <w:abstractNumId w:val="31"/>
  </w:num>
  <w:num w:numId="19">
    <w:abstractNumId w:val="6"/>
  </w:num>
  <w:num w:numId="20">
    <w:abstractNumId w:val="40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1"/>
  </w:num>
  <w:num w:numId="31">
    <w:abstractNumId w:val="20"/>
  </w:num>
  <w:num w:numId="32">
    <w:abstractNumId w:val="14"/>
  </w:num>
  <w:num w:numId="33">
    <w:abstractNumId w:val="38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8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41"/>
  </w:num>
  <w:num w:numId="46">
    <w:abstractNumId w:val="30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162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41BC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27BC9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B3A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3E3C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3BB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0B14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278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43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6F1E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278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389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12E6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60500-EA34-46B1-A922-D9D5ED9D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1139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63</cp:revision>
  <cp:lastPrinted>2022-06-01T12:05:00Z</cp:lastPrinted>
  <dcterms:created xsi:type="dcterms:W3CDTF">2022-03-22T07:37:00Z</dcterms:created>
  <dcterms:modified xsi:type="dcterms:W3CDTF">2022-07-04T06:59:00Z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