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4FCE" w:rsidRDefault="00664FCE">
      <w:pPr>
        <w:pStyle w:val="ConsPlusTitlePage"/>
      </w:pPr>
      <w:r>
        <w:t xml:space="preserve">Документ предоставлен </w:t>
      </w:r>
      <w:hyperlink r:id="rId4">
        <w:r>
          <w:rPr>
            <w:color w:val="0000FF"/>
          </w:rPr>
          <w:t>КонсультантПлюс</w:t>
        </w:r>
      </w:hyperlink>
      <w:r>
        <w:br/>
      </w:r>
    </w:p>
    <w:p w:rsidR="00664FCE" w:rsidRDefault="00664FCE">
      <w:pPr>
        <w:pStyle w:val="ConsPlusNormal"/>
        <w:jc w:val="both"/>
        <w:outlineLvl w:val="0"/>
      </w:pPr>
    </w:p>
    <w:p w:rsidR="00664FCE" w:rsidRDefault="00664FCE">
      <w:pPr>
        <w:pStyle w:val="ConsPlusTitle"/>
        <w:jc w:val="center"/>
        <w:outlineLvl w:val="0"/>
      </w:pPr>
      <w:r>
        <w:t>ЗАКОНОДАТЕЛЬНАЯ ДУМА ТОМСКОЙ ОБЛАСТИ</w:t>
      </w:r>
    </w:p>
    <w:p w:rsidR="00664FCE" w:rsidRDefault="00664FCE">
      <w:pPr>
        <w:pStyle w:val="ConsPlusTitle"/>
        <w:jc w:val="both"/>
      </w:pPr>
    </w:p>
    <w:p w:rsidR="00664FCE" w:rsidRDefault="00664FCE">
      <w:pPr>
        <w:pStyle w:val="ConsPlusTitle"/>
        <w:jc w:val="center"/>
      </w:pPr>
      <w:r>
        <w:t>ПОСТАНОВЛЕНИЕ</w:t>
      </w:r>
    </w:p>
    <w:p w:rsidR="00664FCE" w:rsidRDefault="00664FCE">
      <w:pPr>
        <w:pStyle w:val="ConsPlusTitle"/>
        <w:jc w:val="center"/>
      </w:pPr>
      <w:r>
        <w:t>от 28 июня 2022 г. N 337</w:t>
      </w:r>
    </w:p>
    <w:p w:rsidR="00664FCE" w:rsidRDefault="00664FCE">
      <w:pPr>
        <w:pStyle w:val="ConsPlusTitle"/>
        <w:jc w:val="both"/>
      </w:pPr>
    </w:p>
    <w:p w:rsidR="00664FCE" w:rsidRDefault="00664FCE">
      <w:pPr>
        <w:pStyle w:val="ConsPlusTitle"/>
        <w:jc w:val="center"/>
      </w:pPr>
      <w:r>
        <w:t>ОБ ОТЧЕТЕ О ДЕЯТЕЛЬНОСТИ ОБЛАСТНЫХ</w:t>
      </w:r>
    </w:p>
    <w:p w:rsidR="00664FCE" w:rsidRDefault="00664FCE">
      <w:pPr>
        <w:pStyle w:val="ConsPlusTitle"/>
        <w:jc w:val="center"/>
      </w:pPr>
      <w:r>
        <w:t>ГОСУДАРСТВЕННЫХ УНИТАРНЫХ ПРЕДПРИЯТИЙ ЗА 2021 ГОД</w:t>
      </w:r>
    </w:p>
    <w:p w:rsidR="00664FCE" w:rsidRDefault="00664FCE">
      <w:pPr>
        <w:pStyle w:val="ConsPlusNormal"/>
        <w:jc w:val="both"/>
      </w:pPr>
    </w:p>
    <w:p w:rsidR="00664FCE" w:rsidRDefault="00664FCE">
      <w:pPr>
        <w:pStyle w:val="ConsPlusNormal"/>
        <w:ind w:firstLine="540"/>
        <w:jc w:val="both"/>
      </w:pPr>
      <w:r>
        <w:t xml:space="preserve">Рассмотрев отчет о деятельности областных государственных унитарных предприятий за 2021 год, в соответствии со </w:t>
      </w:r>
      <w:hyperlink r:id="rId5">
        <w:r>
          <w:rPr>
            <w:color w:val="0000FF"/>
          </w:rPr>
          <w:t>статьей 3</w:t>
        </w:r>
      </w:hyperlink>
      <w:r>
        <w:t xml:space="preserve"> Закона Томской области от 13 апреля 2004 года N 52-ОЗ "Об областных государственных унитарных предприятиях", Законодательная Дума Томской области постановляет:</w:t>
      </w:r>
    </w:p>
    <w:p w:rsidR="00664FCE" w:rsidRDefault="00664FCE">
      <w:pPr>
        <w:pStyle w:val="ConsPlusNormal"/>
        <w:spacing w:before="220"/>
        <w:ind w:firstLine="540"/>
        <w:jc w:val="both"/>
      </w:pPr>
      <w:r>
        <w:t xml:space="preserve">Утвердить </w:t>
      </w:r>
      <w:hyperlink w:anchor="P27">
        <w:r>
          <w:rPr>
            <w:color w:val="0000FF"/>
          </w:rPr>
          <w:t>отчет</w:t>
        </w:r>
      </w:hyperlink>
      <w:r>
        <w:t xml:space="preserve"> о деятельности областных государственных унитарных предприятий за 2021 год согласно приложению.</w:t>
      </w:r>
    </w:p>
    <w:p w:rsidR="00664FCE" w:rsidRDefault="00664FCE">
      <w:pPr>
        <w:pStyle w:val="ConsPlusNormal"/>
        <w:jc w:val="both"/>
      </w:pPr>
    </w:p>
    <w:p w:rsidR="00664FCE" w:rsidRDefault="00664FCE">
      <w:pPr>
        <w:pStyle w:val="ConsPlusNormal"/>
        <w:jc w:val="right"/>
      </w:pPr>
      <w:r>
        <w:t>Председатель</w:t>
      </w:r>
    </w:p>
    <w:p w:rsidR="00664FCE" w:rsidRDefault="00664FCE">
      <w:pPr>
        <w:pStyle w:val="ConsPlusNormal"/>
        <w:jc w:val="right"/>
      </w:pPr>
      <w:r>
        <w:t>Законодательной Думы</w:t>
      </w:r>
    </w:p>
    <w:p w:rsidR="00664FCE" w:rsidRDefault="00664FCE">
      <w:pPr>
        <w:pStyle w:val="ConsPlusNormal"/>
        <w:jc w:val="right"/>
      </w:pPr>
      <w:r>
        <w:t>Томской области</w:t>
      </w:r>
    </w:p>
    <w:p w:rsidR="00664FCE" w:rsidRDefault="00664FCE">
      <w:pPr>
        <w:pStyle w:val="ConsPlusNormal"/>
        <w:jc w:val="right"/>
      </w:pPr>
      <w:r>
        <w:t>О.В.КОЗЛОВСКАЯ</w:t>
      </w:r>
    </w:p>
    <w:p w:rsidR="00664FCE" w:rsidRDefault="00664FCE">
      <w:pPr>
        <w:pStyle w:val="ConsPlusNormal"/>
        <w:jc w:val="both"/>
      </w:pPr>
    </w:p>
    <w:p w:rsidR="00664FCE" w:rsidRDefault="00664FCE">
      <w:pPr>
        <w:pStyle w:val="ConsPlusNormal"/>
        <w:jc w:val="both"/>
      </w:pPr>
    </w:p>
    <w:p w:rsidR="00664FCE" w:rsidRDefault="00664FCE">
      <w:pPr>
        <w:pStyle w:val="ConsPlusNormal"/>
        <w:jc w:val="both"/>
      </w:pPr>
    </w:p>
    <w:p w:rsidR="00664FCE" w:rsidRDefault="00664FCE">
      <w:pPr>
        <w:pStyle w:val="ConsPlusNormal"/>
        <w:jc w:val="both"/>
      </w:pPr>
    </w:p>
    <w:p w:rsidR="00664FCE" w:rsidRDefault="00664FCE">
      <w:pPr>
        <w:pStyle w:val="ConsPlusNormal"/>
        <w:jc w:val="both"/>
      </w:pPr>
    </w:p>
    <w:p w:rsidR="00664FCE" w:rsidRDefault="00664FCE">
      <w:pPr>
        <w:pStyle w:val="ConsPlusNormal"/>
        <w:jc w:val="right"/>
        <w:outlineLvl w:val="0"/>
      </w:pPr>
      <w:r>
        <w:t>Приложение</w:t>
      </w:r>
    </w:p>
    <w:p w:rsidR="00664FCE" w:rsidRDefault="00664FCE">
      <w:pPr>
        <w:pStyle w:val="ConsPlusNormal"/>
        <w:jc w:val="right"/>
      </w:pPr>
      <w:r>
        <w:t>к постановлению</w:t>
      </w:r>
    </w:p>
    <w:p w:rsidR="00664FCE" w:rsidRDefault="00664FCE">
      <w:pPr>
        <w:pStyle w:val="ConsPlusNormal"/>
        <w:jc w:val="right"/>
      </w:pPr>
      <w:r>
        <w:t>Законодательной Думы</w:t>
      </w:r>
    </w:p>
    <w:p w:rsidR="00664FCE" w:rsidRDefault="00664FCE">
      <w:pPr>
        <w:pStyle w:val="ConsPlusNormal"/>
        <w:jc w:val="right"/>
      </w:pPr>
      <w:r>
        <w:t>Томской области</w:t>
      </w:r>
    </w:p>
    <w:p w:rsidR="00664FCE" w:rsidRDefault="00664FCE">
      <w:pPr>
        <w:pStyle w:val="ConsPlusNormal"/>
        <w:jc w:val="right"/>
      </w:pPr>
      <w:r>
        <w:t>от 28.06.2022 N 337</w:t>
      </w:r>
    </w:p>
    <w:p w:rsidR="00664FCE" w:rsidRDefault="00664FCE">
      <w:pPr>
        <w:pStyle w:val="ConsPlusNormal"/>
        <w:jc w:val="both"/>
      </w:pPr>
    </w:p>
    <w:p w:rsidR="00664FCE" w:rsidRDefault="00664FCE">
      <w:pPr>
        <w:pStyle w:val="ConsPlusTitle"/>
        <w:jc w:val="center"/>
      </w:pPr>
      <w:bookmarkStart w:id="0" w:name="P27"/>
      <w:bookmarkEnd w:id="0"/>
      <w:r>
        <w:t>ОТЧЕТ</w:t>
      </w:r>
    </w:p>
    <w:p w:rsidR="00664FCE" w:rsidRDefault="00664FCE">
      <w:pPr>
        <w:pStyle w:val="ConsPlusTitle"/>
        <w:jc w:val="center"/>
      </w:pPr>
      <w:r>
        <w:t>О ДЕЯТЕЛЬНОСТИ ОБЛАСТНЫХ ГОСУДАРСТВЕННЫХ</w:t>
      </w:r>
    </w:p>
    <w:p w:rsidR="00664FCE" w:rsidRDefault="00664FCE">
      <w:pPr>
        <w:pStyle w:val="ConsPlusTitle"/>
        <w:jc w:val="center"/>
      </w:pPr>
      <w:r>
        <w:t>УНИТАРНЫХ ПРЕДПРИЯТИЙ ЗА 2021 ГОД</w:t>
      </w:r>
    </w:p>
    <w:p w:rsidR="00664FCE" w:rsidRDefault="00664FCE">
      <w:pPr>
        <w:pStyle w:val="ConsPlusNormal"/>
        <w:jc w:val="both"/>
      </w:pPr>
    </w:p>
    <w:p w:rsidR="00664FCE" w:rsidRDefault="00664FCE">
      <w:pPr>
        <w:pStyle w:val="ConsPlusTitle"/>
        <w:jc w:val="center"/>
        <w:outlineLvl w:val="1"/>
      </w:pPr>
      <w:r>
        <w:t>1. ИЗМЕНЕНИЯ В СОСТАВЕ И СТРУКТУРЕ ОБЛАСТНЫХ</w:t>
      </w:r>
    </w:p>
    <w:p w:rsidR="00664FCE" w:rsidRDefault="00664FCE">
      <w:pPr>
        <w:pStyle w:val="ConsPlusTitle"/>
        <w:jc w:val="center"/>
      </w:pPr>
      <w:r>
        <w:t>ГОСУДАРСТВЕННЫХ УНИТАРНЫХ ПРЕДПРИЯТИЙ В 2021 ГОДУ</w:t>
      </w:r>
    </w:p>
    <w:p w:rsidR="00664FCE" w:rsidRDefault="00664FCE">
      <w:pPr>
        <w:pStyle w:val="ConsPlusNormal"/>
        <w:jc w:val="both"/>
      </w:pPr>
    </w:p>
    <w:p w:rsidR="00664FCE" w:rsidRDefault="00664FCE">
      <w:pPr>
        <w:pStyle w:val="ConsPlusNormal"/>
        <w:ind w:firstLine="540"/>
        <w:jc w:val="both"/>
      </w:pPr>
      <w:r>
        <w:t>По состоянию на 31.12.2020 государственный сектор экономики Томской области был представлен 5 областными государственными унитарными предприятиями, количественный состав которых в 2021 году не изменился.</w:t>
      </w:r>
    </w:p>
    <w:p w:rsidR="00664FCE" w:rsidRDefault="00664FCE">
      <w:pPr>
        <w:pStyle w:val="ConsPlusNormal"/>
        <w:spacing w:before="220"/>
        <w:ind w:firstLine="540"/>
        <w:jc w:val="both"/>
      </w:pPr>
      <w:r>
        <w:t xml:space="preserve">Таким образом, по состоянию на 01.01.2022 государственный сектор экономики Томской области представлен 5 областными государственными унитарными предприятиями </w:t>
      </w:r>
      <w:hyperlink w:anchor="P204">
        <w:r>
          <w:rPr>
            <w:color w:val="0000FF"/>
          </w:rPr>
          <w:t>(приложение 1)</w:t>
        </w:r>
      </w:hyperlink>
      <w:r>
        <w:t>:</w:t>
      </w:r>
    </w:p>
    <w:p w:rsidR="00664FCE" w:rsidRDefault="00664FCE">
      <w:pPr>
        <w:pStyle w:val="ConsPlusNormal"/>
        <w:spacing w:before="220"/>
        <w:ind w:firstLine="540"/>
        <w:jc w:val="both"/>
      </w:pPr>
      <w:r>
        <w:t xml:space="preserve">- ГУП ТО "Областное ДРСУ" и ОГУП "Кожевниковское ДРСУ" - предприятия дорожного хозяйства (дорожные ремонтно-строительные управления), расположенные в г. Томске и районах Томской области и обслуживающие автомобильные дороги федерального, регионального, межмуниципального и местного значения, из них ГУП ТО "Областное ДРСУ" имеет 4 филиала без образования юридического лица (в г. Асино, с. Чажемто Колпашевского района, с. Нелюбино </w:t>
      </w:r>
      <w:r>
        <w:lastRenderedPageBreak/>
        <w:t>Томского района, с. Кривошеино Кривошеинского района); предприятия подведомственны Департаменту транспорта, дорожной деятельности и связи Томской области;</w:t>
      </w:r>
    </w:p>
    <w:p w:rsidR="00664FCE" w:rsidRDefault="00664FCE">
      <w:pPr>
        <w:pStyle w:val="ConsPlusNormal"/>
        <w:spacing w:before="220"/>
        <w:ind w:firstLine="540"/>
        <w:jc w:val="both"/>
      </w:pPr>
      <w:r>
        <w:t>- ОГУП "Областной аптечный склад" - предприятие, осуществляющее фармацевтическую деятельность и расположенное в г. Томске, имеет 4 филиала без образования юридического лица (</w:t>
      </w:r>
      <w:proofErr w:type="gramStart"/>
      <w:r>
        <w:t>в</w:t>
      </w:r>
      <w:proofErr w:type="gramEnd"/>
      <w:r>
        <w:t xml:space="preserve"> ЗАТО Северск; с. Первомайское Первомайского района, с. Бакчар Бакчарского района, с. Александровское Александровского района); предприятие подведомственно Департаменту здравоохранения Томской области;</w:t>
      </w:r>
    </w:p>
    <w:p w:rsidR="00664FCE" w:rsidRDefault="00664FCE">
      <w:pPr>
        <w:pStyle w:val="ConsPlusNormal"/>
        <w:spacing w:before="220"/>
        <w:ind w:firstLine="540"/>
        <w:jc w:val="both"/>
      </w:pPr>
      <w:r>
        <w:t>- ОГУП "Бакчарское" - предприятие сельского хозяйства, занимающееся выращиванием плодовых и ягодных культур и расположенное в Бакчарском районе Томской области; предприятие подведомственно Департаменту по социально-экономическому развитию села Томской области. В 2021 году распоряжением Департамента по управлению государственной собственностью Томской области от 22.07.2021 N 565 принято решение об увеличении уставного фонда предприятия до 15000 тыс. руб. за счет нераспределенной прибыли предприятия;</w:t>
      </w:r>
    </w:p>
    <w:p w:rsidR="00664FCE" w:rsidRDefault="00664FCE">
      <w:pPr>
        <w:pStyle w:val="ConsPlusNormal"/>
        <w:spacing w:before="220"/>
        <w:ind w:firstLine="540"/>
        <w:jc w:val="both"/>
      </w:pPr>
      <w:r>
        <w:t>- ОГУП "Первомайское ДРСУ" определением Арбитражного суда Томской области от 05.09.2014 по делу N А67-4543/2014 признано несостоятельным (банкротом). Определением Арбитражного суда Томской области от 21.03.2022 процедура банкротства в отношении предприятия завершена, о чем внесена запись в Единый государственный реестр юридических лиц (далее - ЕГРЮЛ) 29.03.2022 за государственным регистрационным номером (далее - ГРН) 2227000067952.</w:t>
      </w:r>
    </w:p>
    <w:p w:rsidR="00664FCE" w:rsidRDefault="00664FCE">
      <w:pPr>
        <w:pStyle w:val="ConsPlusNormal"/>
        <w:spacing w:before="220"/>
        <w:ind w:firstLine="540"/>
        <w:jc w:val="both"/>
      </w:pPr>
      <w:r>
        <w:t>По состоянию на 01.01.2021 два областных государственных унитарных предприятия являлись единственными участниками двух хозяйственных обществ: ГУП ТО "Областное ДРСУ" - участником ООО "Стрежевской аэропорт" (с вкладом в уставный капитал в сумме 10 тыс. руб.), ОГУП "Кожевниковское ДРСУ" - ООО "Подсобное" (с вкладом в уставный капитал в сумме 37154 тыс. руб.).</w:t>
      </w:r>
    </w:p>
    <w:p w:rsidR="00664FCE" w:rsidRDefault="00664FCE">
      <w:pPr>
        <w:pStyle w:val="ConsPlusNormal"/>
        <w:spacing w:before="220"/>
        <w:ind w:firstLine="540"/>
        <w:jc w:val="both"/>
      </w:pPr>
      <w:r>
        <w:t>В течение 2021 года на основании: решения ГУП ТО "Областное ДРСУ" от 11.05.2021 ликвидировано ООО "Стрежевской аэропорт", о чем 04.10.2021 внесена запись в ЕГРЮЛ; распоряжения Администрации Томской области от 16.07.2021 N 388-ра согласовано участие ГУП ТО "Областное ДРСУ" в ООО "Региональный аэропорт "Северный" в качестве единственного участника с вкладом в уставный капитал 10 тыс. руб., 19.07.2021 внесена запись в ЕГРЮЛ о создании общества; распоряжения Администрации Томской области от 24.09.2021 N 556-ра внесен дополнительный вклад в уставный капитал ООО "Региональный аэропорт "Северный" в сумме 4000 тыс. руб.</w:t>
      </w:r>
    </w:p>
    <w:p w:rsidR="00664FCE" w:rsidRDefault="00664FCE">
      <w:pPr>
        <w:pStyle w:val="ConsPlusNormal"/>
        <w:spacing w:before="220"/>
        <w:ind w:firstLine="540"/>
        <w:jc w:val="both"/>
      </w:pPr>
      <w:r>
        <w:t>Таким образом, по состоянию на 01.01.2022 два областных государственных унитарных предприятия являются единственными участниками двух хозяйственных обществ с общим вкладом в уставный капитал 41164 тыс. руб.: ГУП ТО "Областное ДРСУ" участником ООО "Региональный аэропорт "Северный" (с вкладом в уставный капитал в сумме 4010 тыс. руб.), ОГУП "Кожевниковское ДРСУ" - ООО "Подсобное" (с вкладом в уставный капитал в сумме 37154 тыс. руб.).</w:t>
      </w:r>
    </w:p>
    <w:p w:rsidR="00664FCE" w:rsidRDefault="00664FCE">
      <w:pPr>
        <w:pStyle w:val="ConsPlusNormal"/>
        <w:spacing w:before="220"/>
        <w:ind w:firstLine="540"/>
        <w:jc w:val="both"/>
      </w:pPr>
      <w:r>
        <w:t>ООО "Подсобное" - результаты финансово-хозяйственной деятельности за 2021 год: объем выручки от реализации товаров (работ, услуг) - 262366 тыс. руб., что ниже показателя за 2020 год (343190 тыс. руб.) на 80824 тыс. руб. (на 23,6%); размер чистой прибыли - 68903 тыс. руб., что выше показателя за 2020 год (66664 тыс. руб.) на 2239 тыс. руб. (на 3,4%); стоимость чистых активов - 460110 тыс. руб., что выше показателя за 2020 год (401959 тыс. руб.) на 58151 тыс. руб. (на 14,5%); остаточная стоимость основных средств - 160362 тыс. руб., что выше показателя за 2020 год (145086 тыс. руб.) на 15276 тыс. руб. (на 10,5%).</w:t>
      </w:r>
    </w:p>
    <w:p w:rsidR="00664FCE" w:rsidRDefault="00664FCE">
      <w:pPr>
        <w:pStyle w:val="ConsPlusNormal"/>
        <w:spacing w:before="220"/>
        <w:ind w:firstLine="540"/>
        <w:jc w:val="both"/>
      </w:pPr>
      <w:r>
        <w:t>ООО "Региональный аэропорт "Северный" в 2021 году не осуществляло финансово-хозяйственную деятельность, стоимость чистых активов общества на конец отчетного периода составила 3545 тыс. рублей. Уставная деятельность общества планируется после завершения организационных мероприятий.</w:t>
      </w:r>
    </w:p>
    <w:p w:rsidR="00664FCE" w:rsidRDefault="00664FCE">
      <w:pPr>
        <w:pStyle w:val="ConsPlusNormal"/>
        <w:spacing w:before="220"/>
        <w:ind w:firstLine="540"/>
        <w:jc w:val="both"/>
      </w:pPr>
      <w:r>
        <w:lastRenderedPageBreak/>
        <w:t>Кроме того, ОГУП "Кожевниковское ДРСУ" является миноритарным акционером ПАО "КАМАЗ" с долей участия в уставном капитале в размере 0,00191%. Общая номинальная стоимость акций, которыми владеет ОГУП "Кожевниковское ДРСУ", составляет 675 тыс. руб., их общая текущая рыночная стоимость возросла с 873,5 тыс. руб. (на 01.01.2021) до 1414,8 тыс. руб. (на 01.01.2022).</w:t>
      </w:r>
    </w:p>
    <w:p w:rsidR="00664FCE" w:rsidRDefault="00664FCE">
      <w:pPr>
        <w:pStyle w:val="ConsPlusNormal"/>
        <w:jc w:val="both"/>
      </w:pPr>
    </w:p>
    <w:p w:rsidR="00664FCE" w:rsidRDefault="00664FCE">
      <w:pPr>
        <w:pStyle w:val="ConsPlusTitle"/>
        <w:jc w:val="center"/>
        <w:outlineLvl w:val="1"/>
      </w:pPr>
      <w:r>
        <w:t>2. СВЕДЕНИЯ О РЕЗУЛЬТАТАХ ФИНАНСОВО-ХОЗЯЙСТВЕННОЙ</w:t>
      </w:r>
    </w:p>
    <w:p w:rsidR="00664FCE" w:rsidRDefault="00664FCE">
      <w:pPr>
        <w:pStyle w:val="ConsPlusTitle"/>
        <w:jc w:val="center"/>
      </w:pPr>
      <w:r>
        <w:t>ДЕЯТЕЛЬНОСТИ ОБЛАСТНЫХ ГОСУДАРСТВЕННЫХ УНИТАРНЫХ</w:t>
      </w:r>
    </w:p>
    <w:p w:rsidR="00664FCE" w:rsidRDefault="00664FCE">
      <w:pPr>
        <w:pStyle w:val="ConsPlusTitle"/>
        <w:jc w:val="center"/>
      </w:pPr>
      <w:r>
        <w:t>ПРЕДПРИЯТИЙ В 2021 ГОДУ</w:t>
      </w:r>
    </w:p>
    <w:p w:rsidR="00664FCE" w:rsidRDefault="00664FCE">
      <w:pPr>
        <w:pStyle w:val="ConsPlusNormal"/>
        <w:jc w:val="both"/>
      </w:pPr>
    </w:p>
    <w:p w:rsidR="00664FCE" w:rsidRDefault="00664FCE">
      <w:pPr>
        <w:pStyle w:val="ConsPlusNormal"/>
        <w:ind w:firstLine="540"/>
        <w:jc w:val="both"/>
      </w:pPr>
      <w:r>
        <w:t xml:space="preserve">Основные </w:t>
      </w:r>
      <w:hyperlink w:anchor="P251">
        <w:r>
          <w:rPr>
            <w:color w:val="0000FF"/>
          </w:rPr>
          <w:t>показатели</w:t>
        </w:r>
      </w:hyperlink>
      <w:r>
        <w:t xml:space="preserve"> финансово-хозяйственной деятельности ГУП ТО "Областное ДРСУ", ОГУП "Кожевниковское ДРСУ", ОГУП "Областной аптечный склад", ОГУП "Бакчарское" (далее - действующие предприятия) за 2021 год отражены в приложении N 2 к настоящему отчету; данные приведены на основании годовой бухгалтерской (финансовой) отчетности предприятий, подтвержденной аудиторскими заключениями, подготовленными независимыми аудиторскими организациями (аудиторами).</w:t>
      </w:r>
    </w:p>
    <w:p w:rsidR="00664FCE" w:rsidRDefault="00664FCE">
      <w:pPr>
        <w:pStyle w:val="ConsPlusNormal"/>
        <w:spacing w:before="220"/>
        <w:ind w:firstLine="540"/>
        <w:jc w:val="both"/>
      </w:pPr>
      <w:r>
        <w:t>Суммарная выручка от реализации продукции (выполнения работ, оказания услуг) действующих предприятий за отчетный период составила 4488562 тыс. руб. при плановом задании 3646864 тыс. руб. (план выполнен на 123,1%), что на 7,3% больше аналогичного показателя 2020 года (4183937 тыс. руб.).</w:t>
      </w:r>
    </w:p>
    <w:p w:rsidR="00664FCE" w:rsidRDefault="00664FCE">
      <w:pPr>
        <w:pStyle w:val="ConsPlusNormal"/>
        <w:spacing w:before="220"/>
        <w:ind w:firstLine="540"/>
        <w:jc w:val="both"/>
      </w:pPr>
      <w:r>
        <w:t>Увеличение объема выручки от реализации продукции (выполнения работ, оказания услуг) в 2021 году по отношению к 2020 году наблюдается у всех действующих предприятий: ГУП ТО "Областное ДРСУ" на 8,4% (за 2021 год - 3726143 тыс. руб., за 2020 год - 3436189 тыс. руб.); ОГУП "Кожевниковское ДРСУ" - на 3,5% (за 2021 год - 159937 тыс. руб., за 2020 год - 154468 тыс. руб.); ОГУП "Областной аптечный склад" - на 0,3% (за 2021 год - 566163 тыс. руб., за 2020 год - 564332 тыс. руб.); ОГУП "Бакчарское" - на 25,5% (за 2021 год - 36319 тыс. руб., за 2020 год - 28948 тыс. руб.).</w:t>
      </w:r>
    </w:p>
    <w:p w:rsidR="00664FCE" w:rsidRDefault="00664FCE">
      <w:pPr>
        <w:pStyle w:val="ConsPlusNormal"/>
        <w:spacing w:before="220"/>
        <w:ind w:firstLine="540"/>
        <w:jc w:val="both"/>
      </w:pPr>
      <w:r>
        <w:t>Сальдированным финансовым результатом деятельности действующих предприятий за 2021 год является чистая прибыль в размере 48346 тыс. руб. при запланированном уровне чистой прибыли 67112 тыс. руб. (план выполнен на 72%), что на 52,4% ниже показателя 2020 года (101538 тыс. руб.).</w:t>
      </w:r>
    </w:p>
    <w:p w:rsidR="00664FCE" w:rsidRDefault="00664FCE">
      <w:pPr>
        <w:pStyle w:val="ConsPlusNormal"/>
        <w:spacing w:before="220"/>
        <w:ind w:firstLine="540"/>
        <w:jc w:val="both"/>
      </w:pPr>
      <w:r>
        <w:t>Чистая прибыль получена всеми областными государственными унитарными предприятиями, осуществлявшими в 2021 году финансово-хозяйственную деятельность:</w:t>
      </w:r>
    </w:p>
    <w:p w:rsidR="00664FCE" w:rsidRDefault="00664FCE">
      <w:pPr>
        <w:pStyle w:val="ConsPlusNormal"/>
        <w:spacing w:before="220"/>
        <w:ind w:firstLine="540"/>
        <w:jc w:val="both"/>
      </w:pPr>
      <w:r>
        <w:t>ГУП ТО "Областное ДРСУ" - 12688 тыс. руб., что ниже значения 2020 года на 81,7% (69362 тыс. руб.), план 2021 года выполнен на 27,4% (46345 тыс. руб.), что является результатом увеличения себестоимости продаж (план фактических затрат на 1 рубль выручки - 0,96 руб., факт - 0,99 руб.) в связи с увеличением стоимости приобретенных материалов в целях выполнения государственных контрактов, в том числе заключенных предприятием с Областным государственным казенным учреждением "Управление автомобильных дорог Томской области";</w:t>
      </w:r>
    </w:p>
    <w:p w:rsidR="00664FCE" w:rsidRDefault="00664FCE">
      <w:pPr>
        <w:pStyle w:val="ConsPlusNormal"/>
        <w:spacing w:before="220"/>
        <w:ind w:firstLine="540"/>
        <w:jc w:val="both"/>
      </w:pPr>
      <w:r>
        <w:t>ОГУП "Кожевниковское ДРСУ" - 22063 тыс. руб., что выше значения 2020 года (17079 тыс. руб.) на 29,2%, план 2021 года (10902 тыс. руб.) перевыполнен в 2 раза, что обусловлено заключением предприятием дополнительных контрактов на ремонт автомобильных дорог регионального значения, на содержание и ремонт автомобильных дорог территориального значения, на оказание транспортных услуг, а также перевыполнением плана по доходу от участия в ООО "Подсобное" (план - 840 тыс. руб., факт - 10752 тыс. руб.);</w:t>
      </w:r>
    </w:p>
    <w:p w:rsidR="00664FCE" w:rsidRDefault="00664FCE">
      <w:pPr>
        <w:pStyle w:val="ConsPlusNormal"/>
        <w:spacing w:before="220"/>
        <w:ind w:firstLine="540"/>
        <w:jc w:val="both"/>
      </w:pPr>
      <w:r>
        <w:t>ОГУП "Областной аптечный склад" - 5556 тыс. руб., что ниже значения 2020 года (8610 тыс. руб.) на 35,5%, план 2021 года (2306 тыс. руб.) перевыполнен в 2,4 раза, что обусловлено снижением себестоимости продаж (план фактических затрат на 1 рубль выручки - 0,99 руб., факт - 0,98 руб.) в связи с уменьшением затрат на приобретение лекарственных препаратов и изделий медицинского назначения;</w:t>
      </w:r>
    </w:p>
    <w:p w:rsidR="00664FCE" w:rsidRDefault="00664FCE">
      <w:pPr>
        <w:pStyle w:val="ConsPlusNormal"/>
        <w:spacing w:before="220"/>
        <w:ind w:firstLine="540"/>
        <w:jc w:val="both"/>
      </w:pPr>
      <w:r>
        <w:lastRenderedPageBreak/>
        <w:t>ОГУП "Бакчарское" - 8039 тыс. руб., что выше значения 2020 года (6487 тыс. руб.) на 23,9%, план 2021 года (7559 тыс. руб.) выполнен на 106,4%, что обусловлено перевыполнением плана по выручке от реализации товаров (работ, услуг) на 104,3%.</w:t>
      </w:r>
    </w:p>
    <w:p w:rsidR="00664FCE" w:rsidRDefault="00664FCE">
      <w:pPr>
        <w:pStyle w:val="ConsPlusNormal"/>
        <w:spacing w:before="220"/>
        <w:ind w:firstLine="540"/>
        <w:jc w:val="both"/>
      </w:pPr>
      <w:r>
        <w:t xml:space="preserve">Среднесписочная численность работников действующих предприятий за 2021 год </w:t>
      </w:r>
      <w:hyperlink w:anchor="P347">
        <w:r>
          <w:rPr>
            <w:color w:val="0000FF"/>
          </w:rPr>
          <w:t>(приложение 3)</w:t>
        </w:r>
      </w:hyperlink>
      <w:r>
        <w:t xml:space="preserve"> составила 1412 человек, что выше показателя 2020 года (1397 человек) на 1,1% или на 15 человек, что обусловлено:</w:t>
      </w:r>
    </w:p>
    <w:p w:rsidR="00664FCE" w:rsidRDefault="00664FCE">
      <w:pPr>
        <w:pStyle w:val="ConsPlusNormal"/>
        <w:spacing w:before="220"/>
        <w:ind w:firstLine="540"/>
        <w:jc w:val="both"/>
      </w:pPr>
      <w:r>
        <w:t>- увеличением численности работников ГУП ТО "Областное ДРСУ" с 1200 до 1219 человек (1,6% или на 19 человек) в связи с увеличением объема работ в 2021 году по отношению к 2020 году;</w:t>
      </w:r>
    </w:p>
    <w:p w:rsidR="00664FCE" w:rsidRDefault="00664FCE">
      <w:pPr>
        <w:pStyle w:val="ConsPlusNormal"/>
        <w:spacing w:before="220"/>
        <w:ind w:firstLine="540"/>
        <w:jc w:val="both"/>
      </w:pPr>
      <w:r>
        <w:t>- увеличением численности работников ОГУП "Бакчарское" с 34 до 37 человек (на 8,8% или на 3 человека), что обусловлено большим привлечением предприятием в 2021 году работников по срочным трудовым договорам;</w:t>
      </w:r>
    </w:p>
    <w:p w:rsidR="00664FCE" w:rsidRDefault="00664FCE">
      <w:pPr>
        <w:pStyle w:val="ConsPlusNormal"/>
        <w:spacing w:before="220"/>
        <w:ind w:firstLine="540"/>
        <w:jc w:val="both"/>
      </w:pPr>
      <w:r>
        <w:t>- уменьшением численности работников ОГУП "Кожевниковское ДРСУ" с 73 до 69 человек (на 5,5% или на 4 человека);</w:t>
      </w:r>
    </w:p>
    <w:p w:rsidR="00664FCE" w:rsidRDefault="00664FCE">
      <w:pPr>
        <w:pStyle w:val="ConsPlusNormal"/>
        <w:spacing w:before="220"/>
        <w:ind w:firstLine="540"/>
        <w:jc w:val="both"/>
      </w:pPr>
      <w:r>
        <w:t>- уменьшением численности работников ОГУП "Областной аптечный склад" с 90 до 87 человек (на 3,3% или на 3 человека).</w:t>
      </w:r>
    </w:p>
    <w:p w:rsidR="00664FCE" w:rsidRDefault="00664FCE">
      <w:pPr>
        <w:pStyle w:val="ConsPlusNormal"/>
        <w:spacing w:before="220"/>
        <w:ind w:firstLine="540"/>
        <w:jc w:val="both"/>
      </w:pPr>
      <w:r>
        <w:t xml:space="preserve">Среднемесячная заработная плата </w:t>
      </w:r>
      <w:hyperlink w:anchor="P347">
        <w:r>
          <w:rPr>
            <w:color w:val="0000FF"/>
          </w:rPr>
          <w:t>(приложение 3)</w:t>
        </w:r>
      </w:hyperlink>
      <w:r>
        <w:t xml:space="preserve"> работников (без учета руководителей) действующих предприятий в 2021 году составила 44531 руб., что выше показателя 2020 года (40093 руб.) на 11,1% или на 4438 руб. В 2021 году в сравнении с 2020 годом наблюдается рост показателя: ГУП ТО "Областное ДРСУ" на 11% или на 4369 руб. (2021 год - 44254 руб., 2020 год - 39885 руб.); ОГУП "Кожевниковское ДРСУ" на 14,3% или 6724 руб. (2021 год - 53702 руб., 2020 год - 46978 руб.); ОГУП "Областной аптечный склад" на 9,2% или на 3409 руб. (2021 год - 40497 руб., 2020 год - 37088 руб.); ОГУП "Бакчарское" на 13,4% или на 5483 руб. (2021 год - 46221 руб., 2020 год - 40738 руб.).</w:t>
      </w:r>
    </w:p>
    <w:p w:rsidR="00664FCE" w:rsidRDefault="00664FCE">
      <w:pPr>
        <w:pStyle w:val="ConsPlusNormal"/>
        <w:spacing w:before="220"/>
        <w:ind w:firstLine="540"/>
        <w:jc w:val="both"/>
      </w:pPr>
      <w:r>
        <w:t>Среднемесячная заработная плата руководителей действующих предприятий в отчетном году составила 179008 руб., что выше показателя 2020 года (152844 руб.) на 17,1%. В целом увеличение среднемесячной заработной платы руководителей областных государственных унитарных предприятий обусловлено повышением размера минимальной заработной платы в Томской области на 2021 год, установленного Региональным соглашением о минимальной заработной плате в Томской области на 2021 год, заключенным 21.12.2020.</w:t>
      </w:r>
    </w:p>
    <w:p w:rsidR="00664FCE" w:rsidRDefault="00664FCE">
      <w:pPr>
        <w:pStyle w:val="ConsPlusNormal"/>
        <w:spacing w:before="220"/>
        <w:ind w:firstLine="540"/>
        <w:jc w:val="both"/>
      </w:pPr>
      <w:r>
        <w:t>Среднемесячная заработная плата руководителей действующих предприятий: увеличилась по ОГУП "Кожевниковское ДРСУ" на 7,7% (2021 - 156286 руб., 2020 год - 145062 руб.), по ОГУП "Областной аптечный склад" на 36,3% (2021 год - 167310 руб., 2020 год - 122716 руб.), по ОГУП "Бакчарское" на 49,8% (2021 год - 153325 руб., 2020 год - 102368 руб.), что обусловлено выплатой руководителям ОГУП "Областной аптечный склад" и ОГУП "Бакчарское" в 2021 году премии по итогам 2020 года; незначительно уменьшилась по ОГУП "Областное ДРСУ" на 0,9% (2021 год - 239111 руб., 2020 год - 241228 руб.).</w:t>
      </w:r>
    </w:p>
    <w:p w:rsidR="00664FCE" w:rsidRDefault="00664FCE">
      <w:pPr>
        <w:pStyle w:val="ConsPlusNormal"/>
        <w:spacing w:before="220"/>
        <w:ind w:firstLine="540"/>
        <w:jc w:val="both"/>
      </w:pPr>
      <w:r>
        <w:t xml:space="preserve">Первоначальная стоимость основных средств </w:t>
      </w:r>
      <w:hyperlink w:anchor="P251">
        <w:r>
          <w:rPr>
            <w:color w:val="0000FF"/>
          </w:rPr>
          <w:t>(приложение 2)</w:t>
        </w:r>
      </w:hyperlink>
      <w:r>
        <w:t xml:space="preserve">, закрепленных на праве хозяйственного ведения за действующими предприятиями, по состоянию на 31.12.2021 составила 2107783 тыс. руб., что выше показателя на 31.12.2020 (1817544 тыс. руб.) на 16% или на 290239 тыс. руб., что обусловлено увеличением показателя по ГУП ТО "Областное ДРСУ" на 16,3% или на 260262 тыс. руб. (на 31.12.2020 - 1599925 тыс. руб., на 31.12.2021 - 1860187 тыс. руб.) и ОГУП "Кожевниковское ДРСУ" на 10,2% или на 15829 тыс. руб. (на 31.12.2020 - 155660 тыс. руб., на 31.12.2021 - 171489 тыс. руб.) в связи с приобретением ими в отчетном году основных средств (спецтехники, автотранспорта, оборудования), по ОГУП "Бакчарское" на 63,8% или на 14301 тыс. руб. (на 31.12.2020 - 22410 тыс. руб., на 31.12.2021 - 36711 тыс. руб.) в связи с вводом в эксплуатацию производственного здания с холодильным оборудованием, приобретением метеорологического </w:t>
      </w:r>
      <w:r>
        <w:lastRenderedPageBreak/>
        <w:t>оборудования, дождевальной машины барабанного типа, почвенной фрезы (ротоватор), вводом в эксплуатацию саженцев многолетних насаждений, объектов недвижимого и движимого имущества (помещение для дождевальной машины, автобус ПАЗ-32053-50).</w:t>
      </w:r>
    </w:p>
    <w:p w:rsidR="00664FCE" w:rsidRDefault="00664FCE">
      <w:pPr>
        <w:pStyle w:val="ConsPlusNormal"/>
        <w:spacing w:before="220"/>
        <w:ind w:firstLine="540"/>
        <w:jc w:val="both"/>
      </w:pPr>
      <w:r>
        <w:t>В 2021 году в ходе банкротства - конкурсного производства ОГУП "Первомайское ДРСУ" из Реестра государственного имущества Томской области (далее - Реестр) исключены сведения о 7 объектах недвижимого имущества предприятия первоначальной балансовой стоимостью 18964 тыс. руб. на основании Соглашений об отступном в собственность третьих лиц (ООО "Первомайское ДРСУ") в счет погашения требований кредиторов.</w:t>
      </w:r>
    </w:p>
    <w:p w:rsidR="00664FCE" w:rsidRDefault="00664FCE">
      <w:pPr>
        <w:pStyle w:val="ConsPlusNormal"/>
        <w:spacing w:before="220"/>
        <w:ind w:firstLine="540"/>
        <w:jc w:val="both"/>
      </w:pPr>
      <w:r>
        <w:t>Таким образом, по состоянию на 31.12.2021 из Реестра исключены сведения об имуществе, закрепленном на праве хозяйственного ведения за ОГУП "Первомайское ДРСУ".</w:t>
      </w:r>
    </w:p>
    <w:p w:rsidR="00664FCE" w:rsidRDefault="00664FCE">
      <w:pPr>
        <w:pStyle w:val="ConsPlusNormal"/>
        <w:spacing w:before="220"/>
        <w:ind w:firstLine="540"/>
        <w:jc w:val="both"/>
      </w:pPr>
      <w:r>
        <w:t xml:space="preserve">Остаточная стоимость основных средств </w:t>
      </w:r>
      <w:hyperlink w:anchor="P251">
        <w:r>
          <w:rPr>
            <w:color w:val="0000FF"/>
          </w:rPr>
          <w:t>(приложение 2)</w:t>
        </w:r>
      </w:hyperlink>
      <w:r>
        <w:t>, закрепленных на праве хозяйственного ведения за действующими предприятиями, по состоянию на 31.12.2021 составила 899528 тыс. руб., что выше показателя на начало отчетного периода (714717 тыс. руб.) на 25,9% или на 184811 тыс. руб., что обусловлено превышением темпов поступления основных средств над темпами их выбытия.</w:t>
      </w:r>
    </w:p>
    <w:p w:rsidR="00664FCE" w:rsidRDefault="00664FCE">
      <w:pPr>
        <w:pStyle w:val="ConsPlusNormal"/>
        <w:spacing w:before="220"/>
        <w:ind w:firstLine="540"/>
        <w:jc w:val="both"/>
      </w:pPr>
      <w:r>
        <w:t>Стоимость незавершенных капитальных вложений (незаконченных операций по приобретению, модернизации основных средств, прочих внеоборотных активов, которые впоследствии могут быть приняты к учету в составе основных средств) по данным отчетности действующих предприятий по состоянию на 31.12.2021 составила 97010 тыс. руб., что выше на 65,6% или на 38419 тыс. руб. показателя на 31.12.2020 (58591 тыс. руб.), что обусловлено ростом показателя по ГУП ТО "Областное ДРСУ" на 36639 тыс. руб. и ОГУП "Бакчарское" на 1780 тыс. руб.</w:t>
      </w:r>
    </w:p>
    <w:p w:rsidR="00664FCE" w:rsidRDefault="00664FCE">
      <w:pPr>
        <w:pStyle w:val="ConsPlusNormal"/>
        <w:spacing w:before="220"/>
        <w:ind w:firstLine="540"/>
        <w:jc w:val="both"/>
      </w:pPr>
      <w:r>
        <w:t>Общее поступление основных средств по действующим предприятиям за 2020 год составило 194362 тыс. руб., за 2021 год - 310172 тыс. руб., из них:</w:t>
      </w:r>
    </w:p>
    <w:p w:rsidR="00664FCE" w:rsidRDefault="00664FCE">
      <w:pPr>
        <w:pStyle w:val="ConsPlusNormal"/>
        <w:spacing w:before="220"/>
        <w:ind w:firstLine="540"/>
        <w:jc w:val="both"/>
      </w:pPr>
      <w:r>
        <w:t>- 301400 тыс. руб. инвестировано в основные средства действующих предприятий за счет амортизационных отчислений, собственных и заемных средств. Поступление основных средств предприятия за 2021 год выше на 60,2% или на 113253 тыс. руб. показателя 2020 года (188147 тыс. руб.);</w:t>
      </w:r>
    </w:p>
    <w:p w:rsidR="00664FCE" w:rsidRDefault="00664FCE">
      <w:pPr>
        <w:pStyle w:val="ConsPlusNormal"/>
        <w:spacing w:before="220"/>
        <w:ind w:firstLine="540"/>
        <w:jc w:val="both"/>
      </w:pPr>
      <w:r>
        <w:t>- 3731 тыс. руб. - стоимость имущества, переданного из Казны Томской области в хозяйственное ведение ОГУП "Бакчарское" (автотранспортное средство на сумму 765 тыс. руб.) и ГУП ТО "Областное ДРСУ" (объект недвижимого имущества стоимостью 2966 тыс. руб.);</w:t>
      </w:r>
    </w:p>
    <w:p w:rsidR="00664FCE" w:rsidRDefault="00664FCE">
      <w:pPr>
        <w:pStyle w:val="ConsPlusNormal"/>
        <w:spacing w:before="220"/>
        <w:ind w:firstLine="540"/>
        <w:jc w:val="both"/>
      </w:pPr>
      <w:r>
        <w:t>- 158 тыс. руб. - стоимость имущества ГУП ТО "Областное ДРСУ" (скважина артезианская N 44 Чажемто, тепловая сеть с. Мельниково), поставленного на баланс предприятия по результатам регистрации права собственности Томской области и права хозяйственного ведения предприятия на объекты;</w:t>
      </w:r>
    </w:p>
    <w:p w:rsidR="00664FCE" w:rsidRDefault="00664FCE">
      <w:pPr>
        <w:pStyle w:val="ConsPlusNormal"/>
        <w:spacing w:before="220"/>
        <w:ind w:firstLine="540"/>
        <w:jc w:val="both"/>
      </w:pPr>
      <w:r>
        <w:t>- 4883 тыс. руб. - увеличение стоимости имущества, связанная с модернизацией асфальтосмесительной установки (АБЗ-2) ГУП ТО "Областное ДРСУ".</w:t>
      </w:r>
    </w:p>
    <w:p w:rsidR="00664FCE" w:rsidRDefault="00664FCE">
      <w:pPr>
        <w:pStyle w:val="ConsPlusNormal"/>
        <w:spacing w:before="220"/>
        <w:ind w:firstLine="540"/>
        <w:jc w:val="both"/>
      </w:pPr>
      <w:r>
        <w:t>Кроме того, в 2021 году ГУП ТО "Областное ДРСУ" произведено исправление ошибок, допущенных при принятии к учету 4 объектов основных средств, переданных из Казны Томской области в хозяйственное ведение предприятия, в результате увеличена общая первоначальная стоимость основных средств ГУП ТО "Областное ДРСУ" на 1357 тыс. руб.</w:t>
      </w:r>
    </w:p>
    <w:p w:rsidR="00664FCE" w:rsidRDefault="00664FCE">
      <w:pPr>
        <w:pStyle w:val="ConsPlusNormal"/>
        <w:spacing w:before="220"/>
        <w:ind w:firstLine="540"/>
        <w:jc w:val="both"/>
      </w:pPr>
      <w:r>
        <w:t>Общая первоначальная стоимость выбывших в 2021 году основных средств действующих предприятий составила 21290 тыс. руб., из них:</w:t>
      </w:r>
    </w:p>
    <w:p w:rsidR="00664FCE" w:rsidRDefault="00664FCE">
      <w:pPr>
        <w:pStyle w:val="ConsPlusNormal"/>
        <w:spacing w:before="220"/>
        <w:ind w:firstLine="540"/>
        <w:jc w:val="both"/>
      </w:pPr>
      <w:r>
        <w:t xml:space="preserve">- 2388 тыс. руб. - первоначальная стоимость реализованного имущества с нулевой остаточной стоимостью, в том числе по: ГУП ТО "Областное ДРСУ" - 967 тыс. руб. (цена реализации 280 тыс. </w:t>
      </w:r>
      <w:r>
        <w:lastRenderedPageBreak/>
        <w:t>руб.); ОГУП "Кожевниковское ДРСУ" - 1088 тыс. руб. (цена реализации 137 тыс. руб.); ОГУП "Областной аптечный склад" - 333 тыс. руб. (цена реализации 25 тыс. руб.);</w:t>
      </w:r>
    </w:p>
    <w:p w:rsidR="00664FCE" w:rsidRDefault="00664FCE">
      <w:pPr>
        <w:pStyle w:val="ConsPlusNormal"/>
        <w:spacing w:before="220"/>
        <w:ind w:firstLine="540"/>
        <w:jc w:val="both"/>
      </w:pPr>
      <w:r>
        <w:t>- 17658 тыс. руб. - первоначальная стоимость списанного имущества, в том числе по: ГУП ТО "Областное ДРСУ" - 16521 тыс. руб. (3 объекта движимого имущества общей остаточной стоимостью 45 тыс. руб., не подлежащих эксплуатации, ремонт которых экономически не целесообразен); ОГУП "Кожевниковское ДРСУ" - 610 тыс. руб. (с нулевой остаточной стоимостью); ОГУП "Бакчарское" - 527 тыс. руб. (общая остаточная стоимость 69 тыс. руб.);</w:t>
      </w:r>
    </w:p>
    <w:p w:rsidR="00664FCE" w:rsidRDefault="00664FCE">
      <w:pPr>
        <w:pStyle w:val="ConsPlusNormal"/>
        <w:spacing w:before="220"/>
        <w:ind w:firstLine="540"/>
        <w:jc w:val="both"/>
      </w:pPr>
      <w:r>
        <w:t>- 1244 тыс. руб. - первоначальная стоимость переданного в Казну Томской области имущества ГУП ТО "Областное ДРСУ" (2 квартиры в жилом доме в с. Халдеево, ремонтно-механическая мастерская АБЗ-1 (г. Асино)).</w:t>
      </w:r>
    </w:p>
    <w:p w:rsidR="00664FCE" w:rsidRDefault="00664FCE">
      <w:pPr>
        <w:pStyle w:val="ConsPlusNormal"/>
        <w:spacing w:before="220"/>
        <w:ind w:firstLine="540"/>
        <w:jc w:val="both"/>
      </w:pPr>
      <w:r>
        <w:t>В части показателей эффективности использования имущества в 2021 году наблюдается, как и в 2020 году, опережающий рост поступления основных средств по сравнению с их выбытием. Значение коэффициента прироста основных средств увеличилось на 4,1 п.п. (за 2020 год - 10,7%, за 2021 год - 14,8%), значение коэффициента выбытия основных средств снизилось на 0,6 п.п. (за 2020 год - 1,8%, за 2021 год - 1,2%), значение показателя фондоотдачи снизилось на 0,9 п.п. (за 2020 год - 5,9, за 2021 год - 5,0).</w:t>
      </w:r>
    </w:p>
    <w:p w:rsidR="00664FCE" w:rsidRDefault="00664FCE">
      <w:pPr>
        <w:pStyle w:val="ConsPlusNormal"/>
        <w:spacing w:before="220"/>
        <w:ind w:firstLine="540"/>
        <w:jc w:val="both"/>
      </w:pPr>
      <w:r>
        <w:t xml:space="preserve">Основные показатели эффективности использования имущества, рассчитанные на основе данных бухгалтерской (финансовой) </w:t>
      </w:r>
      <w:proofErr w:type="gramStart"/>
      <w:r>
        <w:t>отчетности</w:t>
      </w:r>
      <w:proofErr w:type="gramEnd"/>
      <w:r>
        <w:t xml:space="preserve"> действующих областных государственных предприятий, приведены в таблице 1.</w:t>
      </w:r>
    </w:p>
    <w:p w:rsidR="00664FCE" w:rsidRDefault="00664FCE">
      <w:pPr>
        <w:pStyle w:val="ConsPlusNormal"/>
        <w:jc w:val="both"/>
      </w:pPr>
    </w:p>
    <w:p w:rsidR="00664FCE" w:rsidRDefault="00664FCE">
      <w:pPr>
        <w:pStyle w:val="ConsPlusNormal"/>
        <w:jc w:val="right"/>
      </w:pPr>
      <w:r>
        <w:t>Таблица 1</w:t>
      </w:r>
    </w:p>
    <w:p w:rsidR="00664FCE" w:rsidRDefault="00664FC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84"/>
        <w:gridCol w:w="2438"/>
        <w:gridCol w:w="3118"/>
        <w:gridCol w:w="1489"/>
      </w:tblGrid>
      <w:tr w:rsidR="00664FCE">
        <w:tc>
          <w:tcPr>
            <w:tcW w:w="9029" w:type="dxa"/>
            <w:gridSpan w:val="4"/>
            <w:vAlign w:val="center"/>
          </w:tcPr>
          <w:p w:rsidR="00664FCE" w:rsidRDefault="00664FCE">
            <w:pPr>
              <w:pStyle w:val="ConsPlusNormal"/>
              <w:jc w:val="center"/>
            </w:pPr>
            <w:r>
              <w:t>По состоянию на 31.12.2021</w:t>
            </w:r>
          </w:p>
        </w:tc>
      </w:tr>
      <w:tr w:rsidR="00664FCE">
        <w:tc>
          <w:tcPr>
            <w:tcW w:w="1984" w:type="dxa"/>
            <w:vAlign w:val="center"/>
          </w:tcPr>
          <w:p w:rsidR="00664FCE" w:rsidRDefault="00664FCE">
            <w:pPr>
              <w:pStyle w:val="ConsPlusNormal"/>
              <w:jc w:val="center"/>
            </w:pPr>
            <w:r>
              <w:t>Инвестиции в основной капитал, тыс. руб.</w:t>
            </w:r>
          </w:p>
        </w:tc>
        <w:tc>
          <w:tcPr>
            <w:tcW w:w="2438" w:type="dxa"/>
            <w:vAlign w:val="center"/>
          </w:tcPr>
          <w:p w:rsidR="00664FCE" w:rsidRDefault="00664FCE">
            <w:pPr>
              <w:pStyle w:val="ConsPlusNormal"/>
              <w:jc w:val="center"/>
            </w:pPr>
            <w:r>
              <w:t>Сумма начисленной за отчетный период амортизации, тыс. руб.</w:t>
            </w:r>
          </w:p>
        </w:tc>
        <w:tc>
          <w:tcPr>
            <w:tcW w:w="3118" w:type="dxa"/>
            <w:vAlign w:val="center"/>
          </w:tcPr>
          <w:p w:rsidR="00664FCE" w:rsidRDefault="00664FCE">
            <w:pPr>
              <w:pStyle w:val="ConsPlusNormal"/>
              <w:jc w:val="center"/>
            </w:pPr>
            <w:r>
              <w:t>Коэффициент амортизации (общая амортизация/ первоначальная стоимость), %</w:t>
            </w:r>
          </w:p>
        </w:tc>
        <w:tc>
          <w:tcPr>
            <w:tcW w:w="1489" w:type="dxa"/>
            <w:vAlign w:val="center"/>
          </w:tcPr>
          <w:p w:rsidR="00664FCE" w:rsidRDefault="00664FCE">
            <w:pPr>
              <w:pStyle w:val="ConsPlusNormal"/>
              <w:jc w:val="center"/>
            </w:pPr>
            <w:r>
              <w:t>Фондоотдача (выручка/ остаточная стоимость)</w:t>
            </w:r>
          </w:p>
        </w:tc>
      </w:tr>
      <w:tr w:rsidR="00664FCE">
        <w:tc>
          <w:tcPr>
            <w:tcW w:w="1984" w:type="dxa"/>
            <w:vAlign w:val="center"/>
          </w:tcPr>
          <w:p w:rsidR="00664FCE" w:rsidRDefault="00664FCE">
            <w:pPr>
              <w:pStyle w:val="ConsPlusNormal"/>
              <w:jc w:val="center"/>
            </w:pPr>
            <w:r>
              <w:t>301400</w:t>
            </w:r>
          </w:p>
        </w:tc>
        <w:tc>
          <w:tcPr>
            <w:tcW w:w="2438" w:type="dxa"/>
            <w:vAlign w:val="center"/>
          </w:tcPr>
          <w:p w:rsidR="00664FCE" w:rsidRDefault="00664FCE">
            <w:pPr>
              <w:pStyle w:val="ConsPlusNormal"/>
              <w:jc w:val="center"/>
            </w:pPr>
            <w:r>
              <w:t>126282</w:t>
            </w:r>
          </w:p>
        </w:tc>
        <w:tc>
          <w:tcPr>
            <w:tcW w:w="3118" w:type="dxa"/>
            <w:vAlign w:val="center"/>
          </w:tcPr>
          <w:p w:rsidR="00664FCE" w:rsidRDefault="00664FCE">
            <w:pPr>
              <w:pStyle w:val="ConsPlusNormal"/>
              <w:jc w:val="center"/>
            </w:pPr>
            <w:r>
              <w:t>57,3</w:t>
            </w:r>
          </w:p>
        </w:tc>
        <w:tc>
          <w:tcPr>
            <w:tcW w:w="1489" w:type="dxa"/>
            <w:vAlign w:val="center"/>
          </w:tcPr>
          <w:p w:rsidR="00664FCE" w:rsidRDefault="00664FCE">
            <w:pPr>
              <w:pStyle w:val="ConsPlusNormal"/>
              <w:jc w:val="center"/>
            </w:pPr>
            <w:r>
              <w:t>5,0</w:t>
            </w:r>
          </w:p>
        </w:tc>
      </w:tr>
    </w:tbl>
    <w:p w:rsidR="00664FCE" w:rsidRDefault="00664FCE">
      <w:pPr>
        <w:pStyle w:val="ConsPlusNormal"/>
        <w:jc w:val="both"/>
      </w:pPr>
    </w:p>
    <w:p w:rsidR="00664FCE" w:rsidRDefault="00664FCE">
      <w:pPr>
        <w:pStyle w:val="ConsPlusNormal"/>
        <w:ind w:firstLine="540"/>
        <w:jc w:val="both"/>
      </w:pPr>
      <w:r>
        <w:t>Значение коэффициента амортизации (степень износа основных средств, закрепленных за областными государственными унитарными предприятиями) за 2021 год снизилось по сравнению с 2020 годом на 3,4% и составило 57,3% (по состоянию на 31.12.2020 - 60,7%); коэффициент годности основных средств за отчетный год увеличился с 39,3% до 42,7%.</w:t>
      </w:r>
    </w:p>
    <w:p w:rsidR="00664FCE" w:rsidRDefault="00664FCE">
      <w:pPr>
        <w:pStyle w:val="ConsPlusNormal"/>
        <w:spacing w:before="220"/>
        <w:ind w:firstLine="540"/>
        <w:jc w:val="both"/>
      </w:pPr>
      <w:r>
        <w:t>Собственником имущества областных государственных унитарных предприятий в лице Администрации Томской области и уполномоченного областного органа по управлению областным государственным имуществом в 2021 году согласовано совершение тремя предприятиями (ГУП ТО "Областное ДРСУ", ОГУП "Областной аптечный склад" и ОГУП "Бакчарское") крупных сделок, связанных с заключением контрактов и договоров по поставке товаров, выполнению работ (в том числе субподрядных), оказанию услуг, а также связанных с реализацией собственной продукции, приобретением имущества, в том числе на условиях лизинга, кроме того, сделок, связанных с залогом права требования по договору поставки оборудования, с получением банковских гарантий и осуществлением заимствований, из них в отношении:</w:t>
      </w:r>
    </w:p>
    <w:p w:rsidR="00664FCE" w:rsidRDefault="00664FCE">
      <w:pPr>
        <w:pStyle w:val="ConsPlusNormal"/>
        <w:spacing w:before="220"/>
        <w:ind w:firstLine="540"/>
        <w:jc w:val="both"/>
      </w:pPr>
      <w:r>
        <w:t>1) ГУП ТО "Областное ДРСУ"</w:t>
      </w:r>
    </w:p>
    <w:p w:rsidR="00664FCE" w:rsidRDefault="00664FCE">
      <w:pPr>
        <w:pStyle w:val="ConsPlusNormal"/>
        <w:spacing w:before="220"/>
        <w:ind w:firstLine="540"/>
        <w:jc w:val="both"/>
      </w:pPr>
      <w:r>
        <w:t xml:space="preserve">- крупная сделка по заключению договора на оказание услуг финансовой аренды (лизинга) движимого имущества (асфальтоукладчик, фреза дорожная, 5 катков дорожных) стоимостью не более 145529 тыс. руб. с НДС. Предприятием заключено 6 договоров с ООО "Балтийский лизинг" </w:t>
      </w:r>
      <w:r>
        <w:lastRenderedPageBreak/>
        <w:t>общей стоимостью 135583,5 тыс. руб. с налогом на добавленную стоимость (далее - НДС);</w:t>
      </w:r>
    </w:p>
    <w:p w:rsidR="00664FCE" w:rsidRDefault="00664FCE">
      <w:pPr>
        <w:pStyle w:val="ConsPlusNormal"/>
        <w:spacing w:before="220"/>
        <w:ind w:firstLine="540"/>
        <w:jc w:val="both"/>
      </w:pPr>
      <w:r>
        <w:t>- крупная сделка по заключению с ООО "Строительное управление Строй Инвест" договора купли - продажи имущества (асфальтосмесительной установки КДМ-20163 башенного типа производительностью 110 т/ч) стоимостью не более 28420 тыс. руб. без НДС. Предприятием заключен договор стоимостью 28420 тыс. руб., НДС не предусмотрен;</w:t>
      </w:r>
    </w:p>
    <w:p w:rsidR="00664FCE" w:rsidRDefault="00664FCE">
      <w:pPr>
        <w:pStyle w:val="ConsPlusNormal"/>
        <w:spacing w:before="220"/>
        <w:ind w:firstLine="540"/>
        <w:jc w:val="both"/>
      </w:pPr>
      <w:r>
        <w:t>- 2 крупные сделки по заключению договоров на выполнение субподрядных работ по ремонту автомобильных дорог общей стоимостью не более 130338,3 тыс. руб. с НДС. Предприятием заключены договоры с ООО "Строительная компания Спец-СП" и ООО "Сибдоринвест" общей стоимостью 130337,5 тыс. руб. с НДС;</w:t>
      </w:r>
    </w:p>
    <w:p w:rsidR="00664FCE" w:rsidRDefault="00664FCE">
      <w:pPr>
        <w:pStyle w:val="ConsPlusNormal"/>
        <w:spacing w:before="220"/>
        <w:ind w:firstLine="540"/>
        <w:jc w:val="both"/>
      </w:pPr>
      <w:r>
        <w:t>- сделка, связанная с осуществлением заимствования, - согласование объема и направления использования средств, привлекаемых ГУП ТО "Областное ДРСУ" в: ПАО Банк "Финансовая Корпорация Открытие" на условиях возобновляемой кредитной линии на сумму заимствования не более 300000 тыс. руб.; ПАО Банк "Финансовая Корпорация Открытие" на условиях невозобновляемой кредитной линией на сумму заимствования не более 50000 тыс. руб.; ПАО "Банк Уралсиб" с возобновляемой кредитной линией на сумму заимствования не более 100000 тыс. руб. Предприятием заключены договоры на указанных условиях, на конец отчетного периода просроченная задолженность по оплате банковских заимствований у предприятия отсутствует;</w:t>
      </w:r>
    </w:p>
    <w:p w:rsidR="00664FCE" w:rsidRDefault="00664FCE">
      <w:pPr>
        <w:pStyle w:val="ConsPlusNormal"/>
        <w:spacing w:before="220"/>
        <w:ind w:firstLine="540"/>
        <w:jc w:val="both"/>
      </w:pPr>
      <w:r>
        <w:t xml:space="preserve">- крупная сделка по заключению </w:t>
      </w:r>
      <w:proofErr w:type="gramStart"/>
      <w:r>
        <w:t>договора поставки</w:t>
      </w:r>
      <w:proofErr w:type="gramEnd"/>
      <w:r>
        <w:t xml:space="preserve"> комбинированных дорожных уборочных машин (2 шт.) стоимостью не более 18915,3 тыс. руб. с НДС. Предприятием заключен договор с ОАО "КОРМЗ" стоимостью 18915,3 тыс. руб. с НДС;</w:t>
      </w:r>
    </w:p>
    <w:p w:rsidR="00664FCE" w:rsidRDefault="00664FCE">
      <w:pPr>
        <w:pStyle w:val="ConsPlusNormal"/>
        <w:spacing w:before="220"/>
        <w:ind w:firstLine="540"/>
        <w:jc w:val="both"/>
      </w:pPr>
      <w:r>
        <w:t>- 2 крупных сделки - заключение с Областным государственным казенным учреждением "Управление автомобильных дорог Томской области" государственных контрактов на выполнение работ по ремонту автомобильных дорог общей стоимостью не более 1220272,9 тыс. руб. с НДС. Предприятием заключены 2 договора общей стоимостью 1216591,4 тыс. руб. с НДС;</w:t>
      </w:r>
    </w:p>
    <w:p w:rsidR="00664FCE" w:rsidRDefault="00664FCE">
      <w:pPr>
        <w:pStyle w:val="ConsPlusNormal"/>
        <w:spacing w:before="220"/>
        <w:ind w:firstLine="540"/>
        <w:jc w:val="both"/>
      </w:pPr>
      <w:r>
        <w:t>- не более:</w:t>
      </w:r>
    </w:p>
    <w:p w:rsidR="00664FCE" w:rsidRDefault="00664FCE">
      <w:pPr>
        <w:pStyle w:val="ConsPlusNormal"/>
        <w:spacing w:before="220"/>
        <w:ind w:firstLine="540"/>
        <w:jc w:val="both"/>
      </w:pPr>
      <w:r>
        <w:t>5 крупных сделок с максимальной суммой по одной сделке не более 3000000 тыс. руб. и 50 крупных сделок с максимальной суммой по одной сделке не более 700000 тыс. руб. по заключению контрактов на выполнение работ (оказание услуг) по благоустройству территорий, по строительству, реконструкции, капитальному ремонту, ремонту и (или) содержанию федеральных, региональных, межмуниципальных, местных автомобильных дорог общего пользования и сооружений;</w:t>
      </w:r>
    </w:p>
    <w:p w:rsidR="00664FCE" w:rsidRDefault="00664FCE">
      <w:pPr>
        <w:pStyle w:val="ConsPlusNormal"/>
        <w:spacing w:before="220"/>
        <w:ind w:firstLine="540"/>
        <w:jc w:val="both"/>
      </w:pPr>
      <w:r>
        <w:t>55 крупных сделок с максимальной суммой по одной сделке не более 150000 тыс. руб., связанных с получением беззалоговых банковских гарантий банков или иных кредитных организаций для обеспечения заявок на участие в процедурах закупок товаров, работ, услуг;</w:t>
      </w:r>
    </w:p>
    <w:p w:rsidR="00664FCE" w:rsidRDefault="00664FCE">
      <w:pPr>
        <w:pStyle w:val="ConsPlusNormal"/>
        <w:spacing w:before="220"/>
        <w:ind w:firstLine="540"/>
        <w:jc w:val="both"/>
      </w:pPr>
      <w:r>
        <w:t>55 крупных сделок с максимальной суммой по одной сделке не более 900000 тыс. руб., связанных с получением беззалоговых банковских гарантий банков или иных кредитных организаций для обеспечения гарантийных обязательств, обеспечения исполнения контрактов.</w:t>
      </w:r>
    </w:p>
    <w:p w:rsidR="00664FCE" w:rsidRDefault="00664FCE">
      <w:pPr>
        <w:pStyle w:val="ConsPlusNormal"/>
        <w:spacing w:before="220"/>
        <w:ind w:firstLine="540"/>
        <w:jc w:val="both"/>
      </w:pPr>
      <w:r>
        <w:t>Предприятием заключены:</w:t>
      </w:r>
    </w:p>
    <w:p w:rsidR="00664FCE" w:rsidRDefault="00664FCE">
      <w:pPr>
        <w:pStyle w:val="ConsPlusNormal"/>
        <w:spacing w:before="220"/>
        <w:ind w:firstLine="540"/>
        <w:jc w:val="both"/>
      </w:pPr>
      <w:r>
        <w:t>8 контрактов на выполнение работ по ремонту автомобильных дорог общей стоимостью 1341699,2 тыс. руб., из них 1 контракт стоимостью 755272 тыс. руб., 7 контрактов стоимостью каждый менее 700000 тыс. руб.;</w:t>
      </w:r>
    </w:p>
    <w:p w:rsidR="00664FCE" w:rsidRDefault="00664FCE">
      <w:pPr>
        <w:pStyle w:val="ConsPlusNormal"/>
        <w:spacing w:before="220"/>
        <w:ind w:firstLine="540"/>
        <w:jc w:val="both"/>
      </w:pPr>
      <w:r>
        <w:t>10 договоров о предоставлении банковских гарантий общей стоимостью 482535,5 тыс. руб., стоимостью каждый менее 150000 тыс. руб.;</w:t>
      </w:r>
    </w:p>
    <w:p w:rsidR="00664FCE" w:rsidRDefault="00664FCE">
      <w:pPr>
        <w:pStyle w:val="ConsPlusNormal"/>
        <w:spacing w:before="220"/>
        <w:ind w:firstLine="540"/>
        <w:jc w:val="both"/>
      </w:pPr>
      <w:r>
        <w:lastRenderedPageBreak/>
        <w:t>- 2 сделки, связанные с получением банковских гарантий (согласованы сделки отдельно на 2021 и 2022 годы), - не более 50 сделок, связанных с получением беззалоговых банковских гарантий банков или иных кредитных организаций для обеспечения:</w:t>
      </w:r>
    </w:p>
    <w:p w:rsidR="00664FCE" w:rsidRDefault="00664FCE">
      <w:pPr>
        <w:pStyle w:val="ConsPlusNormal"/>
        <w:spacing w:before="220"/>
        <w:ind w:firstLine="540"/>
        <w:jc w:val="both"/>
      </w:pPr>
      <w:r>
        <w:t>заявок на участие в аукционах в электронной форме (электронных аукционах), конкурсах и иных процедурах закупок товаров, работ, услуг с максимальной суммой по одной сделке не более 5000 тыс. руб.;</w:t>
      </w:r>
    </w:p>
    <w:p w:rsidR="00664FCE" w:rsidRDefault="00664FCE">
      <w:pPr>
        <w:pStyle w:val="ConsPlusNormal"/>
        <w:spacing w:before="220"/>
        <w:ind w:firstLine="540"/>
        <w:jc w:val="both"/>
      </w:pPr>
      <w:r>
        <w:t>гарантийных обязательств и (или) обеспечения исполнения государственных (муниципальных) контрактов, заключенных по результатам аукционов в электронной форме (электронных аукционов), конкурсов и иных процедур закупки товаров, работ, услуг с максимальной суммой по одной сделке не более 5000 тыс. руб.</w:t>
      </w:r>
    </w:p>
    <w:p w:rsidR="00664FCE" w:rsidRDefault="00664FCE">
      <w:pPr>
        <w:pStyle w:val="ConsPlusNormal"/>
        <w:spacing w:before="220"/>
        <w:ind w:firstLine="540"/>
        <w:jc w:val="both"/>
      </w:pPr>
      <w:r>
        <w:t>Предприятием в 2021 году получена 31 банковская гарантия с суммой обеспечения по каждой не более 5000 тыс. руб.;</w:t>
      </w:r>
    </w:p>
    <w:p w:rsidR="00664FCE" w:rsidRDefault="00664FCE">
      <w:pPr>
        <w:pStyle w:val="ConsPlusNormal"/>
        <w:spacing w:before="220"/>
        <w:ind w:firstLine="540"/>
        <w:jc w:val="both"/>
      </w:pPr>
      <w:r>
        <w:t>2) ОГУП "Областной аптечный склад":</w:t>
      </w:r>
    </w:p>
    <w:p w:rsidR="00664FCE" w:rsidRDefault="00664FCE">
      <w:pPr>
        <w:pStyle w:val="ConsPlusNormal"/>
        <w:spacing w:before="220"/>
        <w:ind w:firstLine="540"/>
        <w:jc w:val="both"/>
      </w:pPr>
      <w:r>
        <w:t>- сделка, связанная с осуществлением заимствования, - заключение с ПАО "Промсвязьбанк" договора заимствования денежных средств в форме кредитования счета (овердрафт) с суммой заимствования не более 9000 тыс. руб. Предприятием заключено соглашение о предоставлении кредита в форме "овердрафт" с лимитом 9000 тыс. руб.;</w:t>
      </w:r>
    </w:p>
    <w:p w:rsidR="00664FCE" w:rsidRDefault="00664FCE">
      <w:pPr>
        <w:pStyle w:val="ConsPlusNormal"/>
        <w:spacing w:before="220"/>
        <w:ind w:firstLine="540"/>
        <w:jc w:val="both"/>
      </w:pPr>
      <w:r>
        <w:t>- не более:</w:t>
      </w:r>
    </w:p>
    <w:p w:rsidR="00664FCE" w:rsidRDefault="00664FCE">
      <w:pPr>
        <w:pStyle w:val="ConsPlusNormal"/>
        <w:spacing w:before="220"/>
        <w:ind w:firstLine="540"/>
        <w:jc w:val="both"/>
      </w:pPr>
      <w:r>
        <w:t>50 крупных сделок с максимальной суммой по одной крупной сделке или нескольким взаимосвязанным сделкам 75000 тыс. руб., связанных с заключением контрактов и договоров по результатам закупок в электронной форме;</w:t>
      </w:r>
    </w:p>
    <w:p w:rsidR="00664FCE" w:rsidRDefault="00664FCE">
      <w:pPr>
        <w:pStyle w:val="ConsPlusNormal"/>
        <w:spacing w:before="220"/>
        <w:ind w:firstLine="540"/>
        <w:jc w:val="both"/>
      </w:pPr>
      <w:r>
        <w:t>50 крупных сделок с максимальным лимитом по одной сделке 20000 тыс. руб., связанных с получением беззалоговых банковских гарантий, выданных банком или иной кредитной организацией, для обеспечения заявок на участие и/или исполнение контрактов по результатам аукционов в электронной форме (электронных аукционов), запросов котировок, запросов предложений.</w:t>
      </w:r>
    </w:p>
    <w:p w:rsidR="00664FCE" w:rsidRDefault="00664FCE">
      <w:pPr>
        <w:pStyle w:val="ConsPlusNormal"/>
        <w:spacing w:before="220"/>
        <w:ind w:firstLine="540"/>
        <w:jc w:val="both"/>
      </w:pPr>
      <w:r>
        <w:t>Предприятием в 2021 году заключен с Федеральным государственным бюджетным научным учреждением "Научно-исследовательский институт кардиологии" контракт на поставку лекарственных препаратов стоимостью 1271,2 тыс. руб., в 2022 году продолжится работа по заключению сделок на соответствующих условиях;</w:t>
      </w:r>
    </w:p>
    <w:p w:rsidR="00664FCE" w:rsidRDefault="00664FCE">
      <w:pPr>
        <w:pStyle w:val="ConsPlusNormal"/>
        <w:spacing w:before="220"/>
        <w:ind w:firstLine="540"/>
        <w:jc w:val="both"/>
      </w:pPr>
      <w:r>
        <w:t>3) ОГУП "Бакчарское":</w:t>
      </w:r>
    </w:p>
    <w:p w:rsidR="00664FCE" w:rsidRDefault="00664FCE">
      <w:pPr>
        <w:pStyle w:val="ConsPlusNormal"/>
        <w:spacing w:before="220"/>
        <w:ind w:firstLine="540"/>
        <w:jc w:val="both"/>
      </w:pPr>
      <w:r>
        <w:t>- крупная сделка по заключению с Ассоциацией инновационного развития АПК Томской области договора на выполнение научно-исследовательских работ по теме "Испытание отборных форм жимолости местной селекции на пригодность их к механизированной уборке" стоимостью не более 500 тыс. руб. Предприятием заключен договор стоимостью 500 тыс. руб., НДС не предусмотрен;</w:t>
      </w:r>
    </w:p>
    <w:p w:rsidR="00664FCE" w:rsidRDefault="00664FCE">
      <w:pPr>
        <w:pStyle w:val="ConsPlusNormal"/>
        <w:spacing w:before="220"/>
        <w:ind w:firstLine="540"/>
        <w:jc w:val="both"/>
      </w:pPr>
      <w:r>
        <w:t>- крупная сделка по заключению договора поставки дождевальной машины барабанного типа в комплекте с насосом с приводом от ВОМ трактора стоимостью не более 2904,7 тыс. руб. с НДС. Предприятием заключен договор с ООО ТД "АвтоГрей" стоимостью 2643,3 тыс. руб. с НДС;</w:t>
      </w:r>
    </w:p>
    <w:p w:rsidR="00664FCE" w:rsidRDefault="00664FCE">
      <w:pPr>
        <w:pStyle w:val="ConsPlusNormal"/>
        <w:spacing w:before="220"/>
        <w:ind w:firstLine="540"/>
        <w:jc w:val="both"/>
      </w:pPr>
      <w:r>
        <w:t>- крупная сделка по заключению договора на поставку почвенной фрезы (ротоватора) Agri-World FTCD 80.04 стоимостью не более 2621,5 тыс. руб. с НДС. Предприятием заключен договор с ООО "Байтек Лизинг" стоимостью 2223,9 тыс. руб. с НДС;</w:t>
      </w:r>
    </w:p>
    <w:p w:rsidR="00664FCE" w:rsidRDefault="00664FCE">
      <w:pPr>
        <w:pStyle w:val="ConsPlusNormal"/>
        <w:spacing w:before="220"/>
        <w:ind w:firstLine="540"/>
        <w:jc w:val="both"/>
      </w:pPr>
      <w:r>
        <w:lastRenderedPageBreak/>
        <w:t>- крупная сделка по заключению договоров подряда на выполнение работ по строительству производственного здания для установки холодильного оборудования, поставки комплекта холодильного оборудования, залога права требования по договору поставки комплекта холодильного оборудования общей стоимостью не более 9900 тыс. руб. с НДС. Предприятием заключены договоры с ООО "ПРОФСТРОЙ", ООО "Оптимал", Новосибирский социальный коммерческий банк "Левобережный" общей стоимостью 9578,4 тыс. руб. с НДС;</w:t>
      </w:r>
    </w:p>
    <w:p w:rsidR="00664FCE" w:rsidRDefault="00664FCE">
      <w:pPr>
        <w:pStyle w:val="ConsPlusNormal"/>
        <w:spacing w:before="220"/>
        <w:ind w:firstLine="540"/>
        <w:jc w:val="both"/>
      </w:pPr>
      <w:r>
        <w:t>- крупная сделка по заключению договора поставки горюче-смазочных материалов стоимостью не более 1500 тыс. руб. Предприятием заключен договор с ООО "РН-Карт" стоимостью 1500 тыс. руб. с НДС;</w:t>
      </w:r>
    </w:p>
    <w:p w:rsidR="00664FCE" w:rsidRDefault="00664FCE">
      <w:pPr>
        <w:pStyle w:val="ConsPlusNormal"/>
        <w:spacing w:before="220"/>
        <w:ind w:firstLine="540"/>
        <w:jc w:val="both"/>
      </w:pPr>
      <w:r>
        <w:t>- не более 500 крупных сделок по реализации предприятием в 2021 году собственной продукции стоимостью каждой не более 5000 тыс. руб. Предприятием заключено 145 сделок общей стоимостью 42511,4 тыс. руб., стоимостью каждая менее 5000 тыс. руб.;</w:t>
      </w:r>
    </w:p>
    <w:p w:rsidR="00664FCE" w:rsidRDefault="00664FCE">
      <w:pPr>
        <w:pStyle w:val="ConsPlusNormal"/>
        <w:spacing w:before="220"/>
        <w:ind w:firstLine="540"/>
        <w:jc w:val="both"/>
      </w:pPr>
      <w:r>
        <w:t>- не более 50 крупных сделок по поставке товаров, выполнению работ, оказанию услуг предприятию в 2021 году стоимостью каждой не более 500 тыс. руб. Предприятием заключено 13 сделок общей стоимостью 2200,7 тыс. руб., стоимостью каждая менее 500 тыс. руб.;</w:t>
      </w:r>
    </w:p>
    <w:p w:rsidR="00664FCE" w:rsidRDefault="00664FCE">
      <w:pPr>
        <w:pStyle w:val="ConsPlusNormal"/>
        <w:spacing w:before="220"/>
        <w:ind w:firstLine="540"/>
        <w:jc w:val="both"/>
      </w:pPr>
      <w:r>
        <w:t>- не более 20 крупных сделок по реализации предприятием в 2022 году собственной продукции стоимостью каждой не более 5000 тыс. руб.</w:t>
      </w:r>
    </w:p>
    <w:p w:rsidR="00664FCE" w:rsidRDefault="00664FCE">
      <w:pPr>
        <w:pStyle w:val="ConsPlusNormal"/>
        <w:spacing w:before="220"/>
        <w:ind w:firstLine="540"/>
        <w:jc w:val="both"/>
      </w:pPr>
      <w:r>
        <w:t>Кроме того, в 2021 году ОГУП "Областной аптечный склад" заключены сделки, согласованные собственником имущества в декабре 2020 года на условиях - не более:</w:t>
      </w:r>
    </w:p>
    <w:p w:rsidR="00664FCE" w:rsidRDefault="00664FCE">
      <w:pPr>
        <w:pStyle w:val="ConsPlusNormal"/>
        <w:spacing w:before="220"/>
        <w:ind w:firstLine="540"/>
        <w:jc w:val="both"/>
      </w:pPr>
      <w:r>
        <w:t>20 крупных сделок с максимальной суммой по одной крупной сделке или нескольким взаимосвязанным сделкам 50000 тыс. руб., связанных с заключением контрактов и договоров по результатам закупок в электронной форме;</w:t>
      </w:r>
    </w:p>
    <w:p w:rsidR="00664FCE" w:rsidRDefault="00664FCE">
      <w:pPr>
        <w:pStyle w:val="ConsPlusNormal"/>
        <w:spacing w:before="220"/>
        <w:ind w:firstLine="540"/>
        <w:jc w:val="both"/>
      </w:pPr>
      <w:r>
        <w:t>20 крупных сделок с максимальным лимитом по одной сделке 15000 тыс. руб., связанных с получением беззалоговых банковских гарантий, выданных банком или иной кредитной организацией, для обеспечения заявок на участие и/или исполнение контрактов по результатам аукционов в электронной форме (электронных аукционов), запросов котировок, запросов предложений.</w:t>
      </w:r>
    </w:p>
    <w:p w:rsidR="00664FCE" w:rsidRDefault="00664FCE">
      <w:pPr>
        <w:pStyle w:val="ConsPlusNormal"/>
        <w:spacing w:before="220"/>
        <w:ind w:firstLine="540"/>
        <w:jc w:val="both"/>
      </w:pPr>
      <w:r>
        <w:t>Предприятием в 2021 году заключены:</w:t>
      </w:r>
    </w:p>
    <w:p w:rsidR="00664FCE" w:rsidRDefault="00664FCE">
      <w:pPr>
        <w:pStyle w:val="ConsPlusNormal"/>
        <w:spacing w:before="220"/>
        <w:ind w:firstLine="540"/>
        <w:jc w:val="both"/>
      </w:pPr>
      <w:r>
        <w:t>20 государственных контрактов (контрактов, договоров) на поставку лекарственных препаратов общей стоимостью 170508,9 тыс. руб., стоимостью каждый не более 50000 тыс. рублей;</w:t>
      </w:r>
    </w:p>
    <w:p w:rsidR="00664FCE" w:rsidRDefault="00664FCE">
      <w:pPr>
        <w:pStyle w:val="ConsPlusNormal"/>
        <w:spacing w:before="220"/>
        <w:ind w:firstLine="540"/>
        <w:jc w:val="both"/>
      </w:pPr>
      <w:r>
        <w:t>16 договоров о предоставлении банковских гарантий общей стоимостью 10112,7 тыс. руб., стоимость каждого договора менее 15000 тыс. руб.</w:t>
      </w:r>
    </w:p>
    <w:p w:rsidR="00664FCE" w:rsidRDefault="00664FCE">
      <w:pPr>
        <w:pStyle w:val="ConsPlusNormal"/>
        <w:spacing w:before="220"/>
        <w:ind w:firstLine="540"/>
        <w:jc w:val="both"/>
      </w:pPr>
      <w:r>
        <w:t>Сумма части прибыли, остающейся после уплаты налогов и иных обязательных платежей, фактически перечисленная областными государственными унитарными предприятиями в доход областного бюджета в 2021 году составила 29555,7 тыс. руб., что в сравнении с 2020 годом больше на 10,1% или на 2706,3 тыс. руб. (в 2020 году - 26849,4 тыс. руб.) в том числе:</w:t>
      </w:r>
    </w:p>
    <w:p w:rsidR="00664FCE" w:rsidRDefault="00664FCE">
      <w:pPr>
        <w:pStyle w:val="ConsPlusNormal"/>
        <w:spacing w:before="220"/>
        <w:ind w:firstLine="540"/>
        <w:jc w:val="both"/>
      </w:pPr>
      <w:r>
        <w:t>в большем объеме:</w:t>
      </w:r>
    </w:p>
    <w:p w:rsidR="00664FCE" w:rsidRDefault="00664FCE">
      <w:pPr>
        <w:pStyle w:val="ConsPlusNormal"/>
        <w:spacing w:before="220"/>
        <w:ind w:firstLine="540"/>
        <w:jc w:val="both"/>
      </w:pPr>
      <w:r>
        <w:t>- ГУП ТО "Областное ДРСУ" - на 4,6% или на 970,4 тыс. руб. (в 2020 году - 20883,7 тыс. руб., в 2021 году - 21854,1 тыс. руб.);</w:t>
      </w:r>
    </w:p>
    <w:p w:rsidR="00664FCE" w:rsidRDefault="00664FCE">
      <w:pPr>
        <w:pStyle w:val="ConsPlusNormal"/>
        <w:spacing w:before="220"/>
        <w:ind w:firstLine="540"/>
        <w:jc w:val="both"/>
      </w:pPr>
      <w:r>
        <w:t>- ОГУП "Областной аптечный склад" - на 62,6% или на 1176,6 тыс. руб. (в 2020 году - 1879,5 тыс. руб., в 2021 году - 3056,1 тыс. руб.);</w:t>
      </w:r>
    </w:p>
    <w:p w:rsidR="00664FCE" w:rsidRDefault="00664FCE">
      <w:pPr>
        <w:pStyle w:val="ConsPlusNormal"/>
        <w:spacing w:before="220"/>
        <w:ind w:firstLine="540"/>
        <w:jc w:val="both"/>
      </w:pPr>
      <w:r>
        <w:lastRenderedPageBreak/>
        <w:t>- ОГУП "Бакчарское" - на 610,9 тыс. руб. (в 2020 году предприятие не перечисляло в областной бюджет часть чистой прибыли в связи с отсутствием налогооблагаемой прибыли по итогам работы за 2019 год);</w:t>
      </w:r>
    </w:p>
    <w:p w:rsidR="00664FCE" w:rsidRDefault="00664FCE">
      <w:pPr>
        <w:pStyle w:val="ConsPlusNormal"/>
        <w:spacing w:before="220"/>
        <w:ind w:firstLine="540"/>
        <w:jc w:val="both"/>
      </w:pPr>
      <w:r>
        <w:t>в меньшем объеме:</w:t>
      </w:r>
    </w:p>
    <w:p w:rsidR="00664FCE" w:rsidRDefault="00664FCE">
      <w:pPr>
        <w:pStyle w:val="ConsPlusNormal"/>
        <w:spacing w:before="220"/>
        <w:ind w:firstLine="540"/>
        <w:jc w:val="both"/>
      </w:pPr>
      <w:r>
        <w:t>- ОГУП "Кожевниковское ДРСУ" на 1,3% или на 51,6 тыс. руб. (в 2020 году 4086,2 тыс. руб., в 2021 году - 4034,6 тыс. руб.).</w:t>
      </w:r>
    </w:p>
    <w:p w:rsidR="00664FCE" w:rsidRDefault="00664FCE">
      <w:pPr>
        <w:pStyle w:val="ConsPlusNormal"/>
        <w:spacing w:before="220"/>
        <w:ind w:firstLine="540"/>
        <w:jc w:val="both"/>
      </w:pPr>
      <w:r>
        <w:t>На начало отчетного года сальдированная задолженность (с учетом начислений по итогам IV квартала 2020 года) перед областным бюджетом по перечислению части прибыли областных государственных унитарных предприятий составляла 17022 тыс. руб., в том числе: текущая со сроком погашения 28.03.2021 задолженность: ГУП ТО "Областное ДРСУ" - 11276,5 тыс. руб., ОГУП "Кожевниковское ДРСУ" - 1872 тыс. руб., ОГУП "Областной аптечный склад" - 2149,9 тыс. руб., ОГУП "Бакчарское" - 610,9 тыс. руб., а также просроченная задолженность ОГУП "Первомайское ДРСУ" в размере 1112,7 тыс. руб.</w:t>
      </w:r>
    </w:p>
    <w:p w:rsidR="00664FCE" w:rsidRDefault="00664FCE">
      <w:pPr>
        <w:pStyle w:val="ConsPlusNormal"/>
        <w:spacing w:before="220"/>
        <w:ind w:firstLine="540"/>
        <w:jc w:val="both"/>
      </w:pPr>
      <w:r>
        <w:t>Часть прибыли, подлежащая перечислению в областной бюджет по итогам 2021 года, составила 10802,5 тыс. руб., что меньше аналогичного показателя за 2020 год (29830 тыс. руб.) в 2,8 раза.</w:t>
      </w:r>
    </w:p>
    <w:p w:rsidR="00664FCE" w:rsidRDefault="00664FCE">
      <w:pPr>
        <w:pStyle w:val="ConsPlusNormal"/>
        <w:spacing w:before="220"/>
        <w:ind w:firstLine="540"/>
        <w:jc w:val="both"/>
      </w:pPr>
      <w:r>
        <w:t>По состоянию на 31.12.2021 сложилась сальдированная переплата в областной бюджет по перечислению части чистой прибыли областных государственных унитарных предприятий в сумме 1731,1 тыс. руб., в том числе:</w:t>
      </w:r>
    </w:p>
    <w:p w:rsidR="00664FCE" w:rsidRDefault="00664FCE">
      <w:pPr>
        <w:pStyle w:val="ConsPlusNormal"/>
        <w:spacing w:before="220"/>
        <w:ind w:firstLine="540"/>
        <w:jc w:val="both"/>
      </w:pPr>
      <w:r>
        <w:t>- долг по оплате части чистой прибыли в общей сумме 3472,6 тыс. руб., из них: просроченная задолженность ОГУП "Первомайское ДРСУ", находившегося в конкурсном производстве, - 1112,7 тыс. руб.; текущая задолженность со сроком оплаты до 28.03.2022 - 2359,9 тыс. руб.;</w:t>
      </w:r>
    </w:p>
    <w:p w:rsidR="00664FCE" w:rsidRDefault="00664FCE">
      <w:pPr>
        <w:pStyle w:val="ConsPlusNormal"/>
        <w:spacing w:before="220"/>
        <w:ind w:firstLine="540"/>
        <w:jc w:val="both"/>
      </w:pPr>
      <w:r>
        <w:t>- переплата ГУП ТО "Областное ДРСУ" в сумме 5203,7 тыс. руб., сложившаяся в результате уменьшения налогооблагаемой прибыли предприятия по итогам 2021 года по отношению к результату за 9 месяцев 2021 года (в 2021 году - 26869 тыс. руб., за 9 месяцев 2021 года - 70516,8 тыс. руб.).</w:t>
      </w:r>
    </w:p>
    <w:p w:rsidR="00664FCE" w:rsidRDefault="00664FCE">
      <w:pPr>
        <w:pStyle w:val="ConsPlusNormal"/>
        <w:spacing w:before="220"/>
        <w:ind w:firstLine="540"/>
        <w:jc w:val="both"/>
      </w:pPr>
      <w:r>
        <w:t>В доход областного бюджета за период с 01.01.2022 по 28.03.2022 областными государственными унитарными предприятиями перечислена часть чистой прибыли в общей сумме 2359,9 тыс. руб. На 28.03.2022 просроченная задолженность ОГУП "Первомайское ДРСУ" по части чистой прибыли составила 1112,7 тыс. руб., переплата ГУП ТО "Областное ДРСУ" - 5203,7 тыс. руб.</w:t>
      </w:r>
    </w:p>
    <w:p w:rsidR="00664FCE" w:rsidRDefault="00664FCE">
      <w:pPr>
        <w:pStyle w:val="ConsPlusNormal"/>
        <w:spacing w:before="220"/>
        <w:ind w:firstLine="540"/>
        <w:jc w:val="both"/>
      </w:pPr>
      <w:r>
        <w:t>Доходы областного бюджета от перечисления в 2021 году действующими предприятиями части прибыли, остающейся после уплаты налогов и иных обязательных платежей, составили 29555,7 тыс. руб., превысив установленное бюджетное назначение по указанным доходам на отчетный год, учтенное в законе об областном бюджете в сумме 19929,1 тыс. руб. в 1,5 раза или на 9626,6 тыс. руб. Перевыполнение бюджетного назначения обусловлено недостаточной проработанностью принимаемых перспективных планов развития областных унитарных предприятий, исходя из основных показателей которых сформировано бюджетное назначение по данному источнику доходов областного бюджета, а также получением предприятиями сверхплановой прибыли по итогам 2020 года (направленной в бюджет в 1 квартале отчетного года), в большей части по ГУП ТО "Областное ДРСУ".</w:t>
      </w:r>
    </w:p>
    <w:p w:rsidR="00664FCE" w:rsidRDefault="00664FCE">
      <w:pPr>
        <w:pStyle w:val="ConsPlusNormal"/>
        <w:spacing w:before="220"/>
        <w:ind w:firstLine="540"/>
        <w:jc w:val="both"/>
      </w:pPr>
      <w:r>
        <w:t>При этом общая сумма плановых показателей по внесению в областной бюджет части прибыли, предусмотренных утвержденными программами финансово-хозяйственной деятельности предприятий на 2021 год, составила 18609,6 тыс. руб., что на 1319,5 тыс. руб. меньше объема вышеуказанного бюджетного назначения на 2021 год.</w:t>
      </w:r>
    </w:p>
    <w:p w:rsidR="00664FCE" w:rsidRDefault="00664FCE">
      <w:pPr>
        <w:pStyle w:val="ConsPlusNormal"/>
        <w:spacing w:before="220"/>
        <w:ind w:firstLine="540"/>
        <w:jc w:val="both"/>
      </w:pPr>
      <w:r>
        <w:t xml:space="preserve">Анализ выполнения утвержденных на отчетный год программ финансово-хозяйственной </w:t>
      </w:r>
      <w:r>
        <w:lastRenderedPageBreak/>
        <w:t>деятельности областных государственных унитарных предприятий показал следующее:</w:t>
      </w:r>
    </w:p>
    <w:p w:rsidR="00664FCE" w:rsidRDefault="00664FCE">
      <w:pPr>
        <w:pStyle w:val="ConsPlusNormal"/>
        <w:spacing w:before="220"/>
        <w:ind w:firstLine="540"/>
        <w:jc w:val="both"/>
      </w:pPr>
      <w:r>
        <w:t>- план по выручке от реализации товаров (выполнения работ, оказания услуг) выполнен действующими предприятиями в целом на 123,1% (план - 3646864 тыс. руб., факт - 4488562 тыс. руб.), в том числе: план выполнен ГУП ТО "Областное ДРСУ" на 127,4%, ОГУП "Кожевниковское ДРСУ" на 117%; ОГУП "Областной аптечный склад" на 103%; ОГУП "Бакчарское" - на 104,3%;</w:t>
      </w:r>
    </w:p>
    <w:p w:rsidR="00664FCE" w:rsidRDefault="00664FCE">
      <w:pPr>
        <w:pStyle w:val="ConsPlusNormal"/>
        <w:spacing w:before="220"/>
        <w:ind w:firstLine="540"/>
        <w:jc w:val="both"/>
      </w:pPr>
      <w:r>
        <w:t>- план по чистой прибыли выполнен действующими предприятиями в целом на 72% (план - 67112 тыс. руб., факт - 48346 тыс. руб.), в том числе выполнен: ГУП ТО "Областное ДРСУ" на 27,4 %, что обусловлено увеличением себестоимости продаж (план фактических затрат на 1 рубль выручки - 0,96 руб., факт - 0,99 руб.); ОГУП "Кожевниковское ДРСУ" на 202,4%, что обусловлено перевыполнением плана по доходу от участия в ООО "Подсобное" (план - 840 тыс. руб., факт - 10752 тыс. руб.); ОГУП "Областной аптечный склад" на 240,9%, что обусловлено снижением себестоимости продаж (план фактических затрат на 1 рубль выручки - 0,99 руб., факт - 0,98 руб.); ОГУП "Бакчарское" на 106,4%, что обусловлено выполнением плана по выручке от реализации товаров (работ, услуг) на 104,3%;</w:t>
      </w:r>
    </w:p>
    <w:p w:rsidR="00664FCE" w:rsidRDefault="00664FCE">
      <w:pPr>
        <w:pStyle w:val="ConsPlusNormal"/>
        <w:spacing w:before="220"/>
        <w:ind w:firstLine="540"/>
        <w:jc w:val="both"/>
      </w:pPr>
      <w:r>
        <w:t>- план по рентабельности деятельности выполнен ГУП ТО "Областное ДРСУ" на 21,3% (план - 1,6%, факт - 0,34%), ОГУП "Кожевниковское ДРСУ" на 161,5% (план - 7,8%, факт - 12,6%), ОГУП "Областной аптечный склад" на 231% (план - 0,42%, факт 0,97%), ОГУП "Бакчарское" на 97,8% (план - 18,6%, факт - 18,2%);</w:t>
      </w:r>
    </w:p>
    <w:p w:rsidR="00664FCE" w:rsidRDefault="00664FCE">
      <w:pPr>
        <w:pStyle w:val="ConsPlusNormal"/>
        <w:spacing w:before="220"/>
        <w:ind w:firstLine="540"/>
        <w:jc w:val="both"/>
      </w:pPr>
      <w:r>
        <w:t>- план по внесению в областной бюджет части прибыли областных государственных унитарных предприятий, остающейся после уплаты налогов и иных обязательных платежей, установленный на отчетный год программами финансово-хозяйственной деятельности предприятий по состоянию на 31.12.2021, выполнен: ГУП ТО "Областное ДРСУ" - на 151,3%, сверх плана перечислено 7413,4 тыс. руб. (план - 14440,7 тыс. руб., факт - 21854,1 тыс. руб., в том числе переплата - 5203,7 тыс. руб.); ОГУП "Кожевниковское ДРСУ" - на 140,8%, сверх плана перечислено 1168,1 тыс. руб. (план - 2866,5 тыс. руб., факт - 4034,6 тыс. руб.); ОГУП "Областной аптечный склад" - план перевыполнен в 5,3 раза, сверх плана перечислено 2479,5 тыс. руб. (план - 576,6 тыс. руб., факт - 3056,1 тыс. руб.); ОГУП "Бакчарское" - на 84,2 %, план не выполнен на 114,9 тыс. руб. (план - 725,8 тыс. руб., факт - 610,9 тыс. руб.);</w:t>
      </w:r>
    </w:p>
    <w:p w:rsidR="00664FCE" w:rsidRDefault="00664FCE">
      <w:pPr>
        <w:pStyle w:val="ConsPlusNormal"/>
        <w:spacing w:before="220"/>
        <w:ind w:firstLine="540"/>
        <w:jc w:val="both"/>
      </w:pPr>
      <w:r>
        <w:t>фактические затраты на 1 рубль выручки от реализации товаров (работ, услуг): выше планового показателя по ГУП ТО "Областное ДРСУ" на 3,1% (план - 0,96, факт - 0,99 руб.), ОГУП "Бакчарское" на 1,1% (план - 0,93 руб., факт - 0,94 руб.); на уровне планового показателя по ОГУП "Кожевниковское ДРСУ" (0,91 руб.); ниже планового показателя по ОГУП "Областной аптечный склад" на 1% (план - 0,99 руб., факт - 0,98 руб.).</w:t>
      </w:r>
    </w:p>
    <w:p w:rsidR="00664FCE" w:rsidRDefault="00664FCE">
      <w:pPr>
        <w:pStyle w:val="ConsPlusNormal"/>
        <w:spacing w:before="220"/>
        <w:ind w:firstLine="540"/>
        <w:jc w:val="both"/>
      </w:pPr>
      <w:r>
        <w:t>Следует отметить, что бухгалтерская (финансовая) отчетность действующих предприятий за 2021 год подтверждена аудиторами, по мнению которых в отношении областных государственных унитарных предприятий годовая бухгалтерская отчетность отражает во всех существенных отношениях их финансовое положение.</w:t>
      </w:r>
    </w:p>
    <w:p w:rsidR="00664FCE" w:rsidRDefault="00664FCE">
      <w:pPr>
        <w:pStyle w:val="ConsPlusNormal"/>
        <w:spacing w:before="220"/>
        <w:ind w:firstLine="540"/>
        <w:jc w:val="both"/>
      </w:pPr>
      <w:r>
        <w:t>В соответствии с решением собрания кредиторов ОГУП "Первомайское ДРСУ" о завершении хозяйственной деятельности предприятия (протокол от 05.12.2016) хозяйственная деятельность предприятием не осуществляется с 01.01.2017.</w:t>
      </w:r>
    </w:p>
    <w:p w:rsidR="00664FCE" w:rsidRDefault="00664FCE">
      <w:pPr>
        <w:pStyle w:val="ConsPlusNormal"/>
        <w:spacing w:before="220"/>
        <w:ind w:firstLine="540"/>
        <w:jc w:val="both"/>
      </w:pPr>
      <w:r>
        <w:t>Исходя из сведений, представленных в Отчете о проведении конкурсного производства ОГУП "Первомайское ДРСУ" от 06.12.2021, и акта сверки задолженности ОГУП "Первомайское ДРСУ" перед Департаментом по управлению государственной собственностью Томской области по состоянию на 31.12.2021:</w:t>
      </w:r>
    </w:p>
    <w:p w:rsidR="00664FCE" w:rsidRDefault="00664FCE">
      <w:pPr>
        <w:pStyle w:val="ConsPlusNormal"/>
        <w:spacing w:before="220"/>
        <w:ind w:firstLine="540"/>
        <w:jc w:val="both"/>
      </w:pPr>
      <w:r>
        <w:t>- общий размер требований кредиторов ОГУП "Первомайское ДРСУ", включенных в реестр требований кредиторов на 06.12.2021, составляет 87229,0 тыс. руб.;</w:t>
      </w:r>
    </w:p>
    <w:p w:rsidR="00664FCE" w:rsidRDefault="00664FCE">
      <w:pPr>
        <w:pStyle w:val="ConsPlusNormal"/>
        <w:spacing w:before="220"/>
        <w:ind w:firstLine="540"/>
        <w:jc w:val="both"/>
      </w:pPr>
      <w:r>
        <w:lastRenderedPageBreak/>
        <w:t>- общая задолженность ОГУП "Первомайское ДРСУ" перед областным бюджетом на 06.12.2021 составила 3203,3 тыс. руб. (2471,5 тыс. руб. - основной долг, 731,8 тыс. руб. - пени и проценты за пользование чужими денежными средствами), в том числе: 1258,8 тыс. руб. - по части прибыли, остающейся после уплаты налогов и иных обязательных платежей, подлежащих перечислению в областной бюджет, из них пени и проценты за пользование чужими денежными средствами - 146,1 тыс. руб.; 1944,5 тыс. руб. - по договорам аренды земельных участков, из них пени 585,7 тыс. руб.</w:t>
      </w:r>
    </w:p>
    <w:p w:rsidR="00664FCE" w:rsidRDefault="00664FCE">
      <w:pPr>
        <w:pStyle w:val="ConsPlusNormal"/>
        <w:spacing w:before="220"/>
        <w:ind w:firstLine="540"/>
        <w:jc w:val="both"/>
      </w:pPr>
      <w:r>
        <w:t>По состоянию на 31.12.2020 в Реестре учитывалось закрепленное на праве хозяйственного ведения за ОГУП "Первомайское ДРСУ" имущество первоначальной стоимостью 19013,0 тыс. руб., в том числе 7 объектов недвижимости стоимостью 18964,2 тыс. руб. и движимое имущество стоимостью 48,8 тыс. руб.</w:t>
      </w:r>
    </w:p>
    <w:p w:rsidR="00664FCE" w:rsidRDefault="00664FCE">
      <w:pPr>
        <w:pStyle w:val="ConsPlusNormal"/>
        <w:spacing w:before="220"/>
        <w:ind w:firstLine="540"/>
        <w:jc w:val="both"/>
      </w:pPr>
      <w:r>
        <w:t>Согласно отчету конкурсного управляющего о проведении конкурсного производства в отношении ГУП "Первомайское ДРСУ" от 06.12.2021 ОГУП "Первомайское" в 2021 году предоставило ООО "Первомайское ДРСУ" в качестве отступного:</w:t>
      </w:r>
    </w:p>
    <w:p w:rsidR="00664FCE" w:rsidRDefault="00664FCE">
      <w:pPr>
        <w:pStyle w:val="ConsPlusNormal"/>
        <w:spacing w:before="220"/>
        <w:ind w:firstLine="540"/>
        <w:jc w:val="both"/>
      </w:pPr>
      <w:r>
        <w:t>5 объектов недвижимого имущества, расположенных в Первомайском районе Томской области, с. Первомайское, ул. Ленинская: д. 108; д. 108/1; д. 108/2; д. 108/4; д. 108/5, общей стоимостью 7592,8 тыс. руб. согласно соглашению об отступном от 03.06.2021 N 5;</w:t>
      </w:r>
    </w:p>
    <w:p w:rsidR="00664FCE" w:rsidRDefault="00664FCE">
      <w:pPr>
        <w:pStyle w:val="ConsPlusNormal"/>
        <w:spacing w:before="220"/>
        <w:ind w:firstLine="540"/>
        <w:jc w:val="both"/>
      </w:pPr>
      <w:r>
        <w:t>2 сооружения, расположенных в Первомайском районе Томской области, ст. Куендат, 10, строение 1, строение 2, общей стоимостью 1264,3 тыс. руб. согласно соглашению об отступном от 25.08.2021 N 6.</w:t>
      </w:r>
    </w:p>
    <w:p w:rsidR="00664FCE" w:rsidRDefault="00664FCE">
      <w:pPr>
        <w:pStyle w:val="ConsPlusNormal"/>
        <w:spacing w:before="220"/>
        <w:ind w:firstLine="540"/>
        <w:jc w:val="both"/>
      </w:pPr>
      <w:r>
        <w:t>На основании актов о списании имущества ОГУП "Первомайское ДРСУ" от 10.07.2014 NN 20,25,52 в 2021 году из Реестра исключено движимое имущество предприятия стоимостью 48,8 тыс. руб.</w:t>
      </w:r>
    </w:p>
    <w:p w:rsidR="00664FCE" w:rsidRDefault="00664FCE">
      <w:pPr>
        <w:pStyle w:val="ConsPlusNormal"/>
        <w:spacing w:before="220"/>
        <w:ind w:firstLine="540"/>
        <w:jc w:val="both"/>
      </w:pPr>
      <w:r>
        <w:t>Таким образом, по состоянию на 31.12.2021 указанные объекты исключены из Реестра.</w:t>
      </w:r>
    </w:p>
    <w:p w:rsidR="00664FCE" w:rsidRDefault="00664FCE">
      <w:pPr>
        <w:pStyle w:val="ConsPlusNormal"/>
        <w:spacing w:before="220"/>
        <w:ind w:firstLine="540"/>
        <w:jc w:val="both"/>
      </w:pPr>
      <w:r>
        <w:t>21.03.2022 процедура банкротства в отношении ОГУП "Первомайское ДРСУ" прекращена, о чем 29.03.2021 внесена запись в ЕГРЮЛ.</w:t>
      </w:r>
    </w:p>
    <w:p w:rsidR="00664FCE" w:rsidRDefault="00664FCE">
      <w:pPr>
        <w:pStyle w:val="ConsPlusNormal"/>
        <w:jc w:val="both"/>
      </w:pPr>
    </w:p>
    <w:p w:rsidR="00664FCE" w:rsidRDefault="00664FCE">
      <w:pPr>
        <w:pStyle w:val="ConsPlusTitle"/>
        <w:jc w:val="center"/>
        <w:outlineLvl w:val="1"/>
      </w:pPr>
      <w:r>
        <w:t>3. ПЕРСПЕКТИВЫ ДЕЯТЕЛЬНОСТИ ОБЛАСТНЫХ</w:t>
      </w:r>
    </w:p>
    <w:p w:rsidR="00664FCE" w:rsidRDefault="00664FCE">
      <w:pPr>
        <w:pStyle w:val="ConsPlusTitle"/>
        <w:jc w:val="center"/>
      </w:pPr>
      <w:r>
        <w:t>ГОСУДАРСТВЕННЫХ УНИТАРНЫХ ПРЕДПРИЯТИЙ</w:t>
      </w:r>
    </w:p>
    <w:p w:rsidR="00664FCE" w:rsidRDefault="00664FCE">
      <w:pPr>
        <w:pStyle w:val="ConsPlusNormal"/>
        <w:jc w:val="both"/>
      </w:pPr>
    </w:p>
    <w:p w:rsidR="00664FCE" w:rsidRDefault="00664FCE">
      <w:pPr>
        <w:pStyle w:val="ConsPlusNormal"/>
        <w:ind w:firstLine="540"/>
        <w:jc w:val="both"/>
      </w:pPr>
      <w:r>
        <w:t>По состоянию на 31.12.2021 в государственной собственности Томской области находятся 5 областных государственных унитарных предприятий, из них ОГУП "Первомайское ДРСУ" признано несостоятельным (банкротом), 4 осуществляют финансово-хозяйственную деятельность.</w:t>
      </w:r>
    </w:p>
    <w:p w:rsidR="00664FCE" w:rsidRDefault="00664FCE">
      <w:pPr>
        <w:pStyle w:val="ConsPlusNormal"/>
        <w:spacing w:before="220"/>
        <w:ind w:firstLine="540"/>
        <w:jc w:val="both"/>
      </w:pPr>
      <w:r>
        <w:t>В соответствии с постановлением Администрации Томской области от 08.05.2013 N 202а "Об утверждении Положения о порядке оценки необходимости сохранения в государственной собственности Томской области областных государственных унитарных предприятий и организаций, участником (акционером) которых является Томская область" ежегодно проводится оценка необходимости сохранения в государственной собственности областных государственных унитарных предприятий, а также на основании данных годовой бухгалтерской (финансовой) отчетности, достоверность которой подтверждена аудиторскими заключениями, осуществляется оценка бюджетной и экономической эффективности их деятельности.</w:t>
      </w:r>
    </w:p>
    <w:p w:rsidR="00664FCE" w:rsidRDefault="00664FCE">
      <w:pPr>
        <w:pStyle w:val="ConsPlusNormal"/>
        <w:spacing w:before="220"/>
        <w:ind w:firstLine="540"/>
        <w:jc w:val="both"/>
      </w:pPr>
      <w:hyperlink w:anchor="P520">
        <w:r>
          <w:rPr>
            <w:color w:val="0000FF"/>
          </w:rPr>
          <w:t>Результаты</w:t>
        </w:r>
      </w:hyperlink>
      <w:r>
        <w:t xml:space="preserve"> проведенной по итогам 2021 года оценки, согласно которым все действующие областные государственные унитарные предприятия подлежат сохранению в государственной собственности Томской области, приведены в приложении 5.</w:t>
      </w:r>
    </w:p>
    <w:p w:rsidR="00664FCE" w:rsidRDefault="00664FCE">
      <w:pPr>
        <w:pStyle w:val="ConsPlusNormal"/>
        <w:spacing w:before="220"/>
        <w:ind w:firstLine="540"/>
        <w:jc w:val="both"/>
      </w:pPr>
      <w:r>
        <w:t>По итогам 2021 года действующие предприятия государственного сектора экономики Томской области имеют положительный финансовый результат. Основные показатели финансово-</w:t>
      </w:r>
      <w:r>
        <w:lastRenderedPageBreak/>
        <w:t>хозяйственный деятельности, свидетельствующие об отсутствии признаков неплатежеспособности, достигнуты ГУП "Кожевниковское ДРСУ" и ОГУП "Бакчарское". Все действующие областные государственные унитарные предприятия в отчетном периоде продолжили обновление материально-технической базы в целях продолжения осуществления ими эффективной хозяйственной деятельности в 2022 году.</w:t>
      </w:r>
    </w:p>
    <w:p w:rsidR="00664FCE" w:rsidRDefault="00664FCE">
      <w:pPr>
        <w:pStyle w:val="ConsPlusNormal"/>
        <w:spacing w:before="220"/>
        <w:ind w:firstLine="540"/>
        <w:jc w:val="both"/>
      </w:pPr>
      <w:r>
        <w:t>ГУП ТО "Областное ДРСУ" в 2021 году:</w:t>
      </w:r>
    </w:p>
    <w:p w:rsidR="00664FCE" w:rsidRDefault="00664FCE">
      <w:pPr>
        <w:pStyle w:val="ConsPlusNormal"/>
        <w:spacing w:before="220"/>
        <w:ind w:firstLine="540"/>
        <w:jc w:val="both"/>
      </w:pPr>
      <w:r>
        <w:t>участвовало в реализации на территории Томской области национального проекта "Безопасные и качественные дороги";</w:t>
      </w:r>
    </w:p>
    <w:p w:rsidR="00664FCE" w:rsidRDefault="00664FCE">
      <w:pPr>
        <w:pStyle w:val="ConsPlusNormal"/>
        <w:spacing w:before="220"/>
        <w:ind w:firstLine="540"/>
        <w:jc w:val="both"/>
      </w:pPr>
      <w:r>
        <w:t>продолжило работу по обновлению материально-технической базы - предприятием за счет собственных средств приобретено: 2 асфальтосмесительные установки, предназначенные для изготовления асфальтобетонных и битумоминеральных смесей и используемые при строительстве и ремонте асфальтового покрытия (GBL-1500 производительностью 120 тн/час (г. Асино), ДМК-201 производительностью 110 тн/час (п. Плотниково)); 7 единиц спецтехники (асфальтоукладчик, дорожная фреза, 5 катков дорожных); 29 единиц строительной спецтехники и оборудования; сеть газопотребления для Северного филиала ГУП ТО "Областное ДРСУ"; прочее имущество (тахеометры, котлы КВР, серверы, компьютерная техника и т.п);</w:t>
      </w:r>
    </w:p>
    <w:p w:rsidR="00664FCE" w:rsidRDefault="00664FCE">
      <w:pPr>
        <w:pStyle w:val="ConsPlusNormal"/>
        <w:spacing w:before="220"/>
        <w:ind w:firstLine="540"/>
        <w:jc w:val="both"/>
      </w:pPr>
      <w:r>
        <w:t>проводило мероприятия по модернизации, ремонту и переоснащению имеющихся асфальтосмесительных установок, а также ремонт гаража ДСУ (г. Томск, ул. Усть-Киргизка 2-я, 27);</w:t>
      </w:r>
    </w:p>
    <w:p w:rsidR="00664FCE" w:rsidRDefault="00664FCE">
      <w:pPr>
        <w:pStyle w:val="ConsPlusNormal"/>
        <w:spacing w:before="220"/>
        <w:ind w:firstLine="540"/>
        <w:jc w:val="both"/>
      </w:pPr>
      <w:r>
        <w:t>построило электрические сети (с. Инкино), битумохранилище ДСУ (г. Томск, ул. Усть-Киргизка 2-я, 27);</w:t>
      </w:r>
    </w:p>
    <w:p w:rsidR="00664FCE" w:rsidRDefault="00664FCE">
      <w:pPr>
        <w:pStyle w:val="ConsPlusNormal"/>
        <w:spacing w:before="220"/>
        <w:ind w:firstLine="540"/>
        <w:jc w:val="both"/>
      </w:pPr>
      <w:r>
        <w:t>осуществляло мероприятия, направленные на подготовку к приватизации предприятия в 2023 году.</w:t>
      </w:r>
    </w:p>
    <w:p w:rsidR="00664FCE" w:rsidRDefault="00664FCE">
      <w:pPr>
        <w:pStyle w:val="ConsPlusNormal"/>
        <w:spacing w:before="220"/>
        <w:ind w:firstLine="540"/>
        <w:jc w:val="both"/>
      </w:pPr>
      <w:r>
        <w:t>ОГУП "Кожевниковское ДРСУ" в 2021 году заключены контракты на содержание и ремонт автомобильных дорог регионального и муниципального значения, а также на оказание транспортных услуг и выполнение асфальтобетонных работ коммерческим организациям и физическим лицам. По состоянию на 31.12.2021 предприятие платежеспособно и финансово устойчиво (коэффициент общей ликвидности - 5,34, что превышает нормативное значение), что обусловлено наличием у организации запасов - материалов, необходимых для выполнения основной производственной деятельности, а также аккумулированием свободных денежных средств на банковском депозите и расчетных счетах.</w:t>
      </w:r>
    </w:p>
    <w:p w:rsidR="00664FCE" w:rsidRDefault="00664FCE">
      <w:pPr>
        <w:pStyle w:val="ConsPlusNormal"/>
        <w:spacing w:before="220"/>
        <w:ind w:firstLine="540"/>
        <w:jc w:val="both"/>
      </w:pPr>
      <w:r>
        <w:t>ОГУП "Областной аптечный склад" на протяжении нескольких лет налажены партнерские отношения с медицинскими организациями Томской области и крупными фармацевтическими организациями, с которыми на конкурсной основе заключались договоры на поставку лекарственных средств и изделий медицинского назначения. ОГУП "Областной аптечный склад" является социально направленной организацией. В 2020 - 2021 годах в условиях распространения новой коронавирусной инфекции COVID-19 предприятием на базе аптечных складов были сформированы временные фонды с неснижаемым запасом медицинских изделий в целях непрерывного снабжения медицинских организаций всем необходим для оказания медицинской помощи населению в целях предотвращения распространения COVID-19. Предприятие участвует в организации обеспечения лекарственными препаратами пациентов, получающих медицинскую помощь в амбулаторных условиях, а также в реализации программы по профилактике новой коронавирусной инфекции, осуществляя приемку, хранение и транспортировку вакцин и сопутствующих медицинских изделий.</w:t>
      </w:r>
    </w:p>
    <w:p w:rsidR="00664FCE" w:rsidRDefault="00664FCE">
      <w:pPr>
        <w:pStyle w:val="ConsPlusNormal"/>
        <w:spacing w:before="220"/>
        <w:ind w:firstLine="540"/>
        <w:jc w:val="both"/>
      </w:pPr>
      <w:r>
        <w:t xml:space="preserve">ОГУП "Бакчарское" в 2021 году обеспечено введение в эксплуатацию здания с размещением холодильного оборудования в целях сохранения урожая плодово-ягодных культур и их круглогодичной реализации; приобретена дождевальная машина в целях достижения высокой </w:t>
      </w:r>
      <w:r>
        <w:lastRenderedPageBreak/>
        <w:t>приживаемости посадочного материала в питомнике; получен сертификат ООО "Органик-Сертификация" о соответствии продукции ОГУП "Бакчарское" требованиям ГОСТ 33980-2016 (органический продукт). ОГУП "Бакчарское" в 2022 году планирует построить новые искусственные водоемы, предназначенные для полива посадочного материала, а также увеличить объем действующего водоема, что позволит увеличить эффективность использования дождевальной машины барабанного типа, приобретенной в 2021 году; заменить гусеничный трактор на трактор колесного типа повышенной проходимости, что обеспечит эффективность обработки почвы; дальнейшее обновление материально-технической базы.</w:t>
      </w:r>
    </w:p>
    <w:p w:rsidR="00664FCE" w:rsidRDefault="00664FCE">
      <w:pPr>
        <w:pStyle w:val="ConsPlusNormal"/>
        <w:spacing w:before="220"/>
        <w:ind w:firstLine="540"/>
        <w:jc w:val="both"/>
      </w:pPr>
      <w:r>
        <w:t xml:space="preserve">В соответствии с Федеральным </w:t>
      </w:r>
      <w:hyperlink r:id="rId6">
        <w:r>
          <w:rPr>
            <w:color w:val="0000FF"/>
          </w:rPr>
          <w:t>законом</w:t>
        </w:r>
      </w:hyperlink>
      <w:r>
        <w:t xml:space="preserve"> от 27 декабря 2019 года N 485-ФЗ "О внесении изменений в Федеральный закон "О государственных и муниципальных унитарных предприятиях" и Федеральный закон "О защите конкуренции" государственные унитарные предприятия подлежат реорганизации либо ликвидации в срок до 01.01.2025 за исключениями, установленными указанным законом.</w:t>
      </w:r>
    </w:p>
    <w:p w:rsidR="00664FCE" w:rsidRDefault="00664FCE">
      <w:pPr>
        <w:pStyle w:val="ConsPlusNormal"/>
        <w:spacing w:before="220"/>
        <w:ind w:firstLine="540"/>
        <w:jc w:val="both"/>
      </w:pPr>
      <w:r>
        <w:t>В 2020 году Администрацией Томской области разработан и направлен в ФАС России План мероприятий по реформированию областных государственных и муниципальных предприятий, расположенных на территории Томской области (актуализирован в 2021 - 2022 годах), в соответствии с которым в установленные законом сроки:</w:t>
      </w:r>
    </w:p>
    <w:p w:rsidR="00664FCE" w:rsidRDefault="00664FCE">
      <w:pPr>
        <w:pStyle w:val="ConsPlusNormal"/>
        <w:spacing w:before="220"/>
        <w:ind w:firstLine="540"/>
        <w:jc w:val="both"/>
      </w:pPr>
      <w:r>
        <w:t xml:space="preserve">- ГУП ТО "Областное ДРСУ" и ОГУП "Кожевниковское ДРСУ" подлежат преобразованию в акционерные общества как предприятия, осуществляющие деятельность на конкурентных товарных рынках. Согласно прогнозному </w:t>
      </w:r>
      <w:hyperlink r:id="rId7">
        <w:r>
          <w:rPr>
            <w:color w:val="0000FF"/>
          </w:rPr>
          <w:t>плану</w:t>
        </w:r>
      </w:hyperlink>
      <w:r>
        <w:t xml:space="preserve"> (программе) приватизации государственного имущества Томской области на плановый период 2022 - 2024 годов, утвержденному постановлением Законодательной Думы Томской области от 18.11.2021 N 36, ГУП ТО "Областное ДРСУ", ОГУП "Кожевниковское ДРСУ" подлежат приватизации в 2023, 2024 годах соответственно. В 2021 году ГУП ТО "Областное ДРСУ" начата работа по подготовке предприятия к приватизации;</w:t>
      </w:r>
    </w:p>
    <w:p w:rsidR="00664FCE" w:rsidRDefault="00664FCE">
      <w:pPr>
        <w:pStyle w:val="ConsPlusNormal"/>
        <w:spacing w:before="220"/>
        <w:ind w:firstLine="540"/>
        <w:jc w:val="both"/>
      </w:pPr>
      <w:r>
        <w:t xml:space="preserve">- ОГУП "Областной аптечный склад" планируется реорганизовать в областное государственное учреждение в связи с тем, что его деятельность связана с оборотом наркотических средств, психотропных веществ и их прекурсоров и в соответствии с </w:t>
      </w:r>
      <w:hyperlink r:id="rId8">
        <w:r>
          <w:rPr>
            <w:color w:val="0000FF"/>
          </w:rPr>
          <w:t>пунктами 1</w:t>
        </w:r>
      </w:hyperlink>
      <w:r>
        <w:t xml:space="preserve">, </w:t>
      </w:r>
      <w:hyperlink r:id="rId9">
        <w:r>
          <w:rPr>
            <w:color w:val="0000FF"/>
          </w:rPr>
          <w:t>2 ст. 5</w:t>
        </w:r>
      </w:hyperlink>
      <w:r>
        <w:t xml:space="preserve"> Федерального закона от 08.01.1998 N 3 "О наркотических средствах и психотропных веществах" может осуществляться государственными предприятиями и учреждениями;</w:t>
      </w:r>
    </w:p>
    <w:p w:rsidR="00664FCE" w:rsidRDefault="00664FCE">
      <w:pPr>
        <w:pStyle w:val="ConsPlusNormal"/>
        <w:spacing w:before="220"/>
        <w:ind w:firstLine="540"/>
        <w:jc w:val="both"/>
      </w:pPr>
      <w:r>
        <w:t xml:space="preserve">- ОГУП "Бакчарское" планируется сохранить в организационно-правовой форме "унитарное предприятие" на основании </w:t>
      </w:r>
      <w:hyperlink r:id="rId10">
        <w:r>
          <w:rPr>
            <w:color w:val="0000FF"/>
          </w:rPr>
          <w:t>пп. 4 пункта 1 статьи 35.1</w:t>
        </w:r>
      </w:hyperlink>
      <w:r>
        <w:t xml:space="preserve"> Федерального закона от 26.07.2006 N 135-ФЗ "О защите конкуренции" как предприятие, обеспечивающее жизнедеятельность населения в районах Крайнего Севера и приравненных к ним местностях.</w:t>
      </w:r>
    </w:p>
    <w:p w:rsidR="00664FCE" w:rsidRDefault="00664FCE">
      <w:pPr>
        <w:pStyle w:val="ConsPlusNormal"/>
        <w:jc w:val="both"/>
      </w:pPr>
    </w:p>
    <w:p w:rsidR="00664FCE" w:rsidRDefault="00664FCE">
      <w:pPr>
        <w:pStyle w:val="ConsPlusNormal"/>
        <w:jc w:val="both"/>
      </w:pPr>
    </w:p>
    <w:p w:rsidR="00664FCE" w:rsidRDefault="00664FCE">
      <w:pPr>
        <w:pStyle w:val="ConsPlusNormal"/>
        <w:jc w:val="both"/>
      </w:pPr>
    </w:p>
    <w:p w:rsidR="00664FCE" w:rsidRDefault="00664FCE">
      <w:pPr>
        <w:pStyle w:val="ConsPlusNormal"/>
        <w:jc w:val="both"/>
      </w:pPr>
    </w:p>
    <w:p w:rsidR="00664FCE" w:rsidRDefault="00664FCE">
      <w:pPr>
        <w:pStyle w:val="ConsPlusNormal"/>
        <w:jc w:val="both"/>
      </w:pPr>
    </w:p>
    <w:p w:rsidR="00664FCE" w:rsidRDefault="00664FCE">
      <w:pPr>
        <w:pStyle w:val="ConsPlusNormal"/>
        <w:jc w:val="right"/>
        <w:outlineLvl w:val="1"/>
      </w:pPr>
      <w:r>
        <w:t>Приложение 1</w:t>
      </w:r>
    </w:p>
    <w:p w:rsidR="00664FCE" w:rsidRDefault="00664FCE">
      <w:pPr>
        <w:pStyle w:val="ConsPlusNormal"/>
        <w:jc w:val="right"/>
      </w:pPr>
      <w:r>
        <w:t>к отчету</w:t>
      </w:r>
    </w:p>
    <w:p w:rsidR="00664FCE" w:rsidRDefault="00664FCE">
      <w:pPr>
        <w:pStyle w:val="ConsPlusNormal"/>
        <w:jc w:val="right"/>
      </w:pPr>
      <w:r>
        <w:t>о деятельности областных государственных</w:t>
      </w:r>
    </w:p>
    <w:p w:rsidR="00664FCE" w:rsidRDefault="00664FCE">
      <w:pPr>
        <w:pStyle w:val="ConsPlusNormal"/>
        <w:jc w:val="right"/>
      </w:pPr>
      <w:r>
        <w:t>унитарных предприятий за 2021 год</w:t>
      </w:r>
    </w:p>
    <w:p w:rsidR="00664FCE" w:rsidRDefault="00664FCE">
      <w:pPr>
        <w:pStyle w:val="ConsPlusNormal"/>
        <w:jc w:val="both"/>
      </w:pPr>
    </w:p>
    <w:p w:rsidR="00664FCE" w:rsidRDefault="00664FCE">
      <w:pPr>
        <w:pStyle w:val="ConsPlusTitle"/>
        <w:jc w:val="center"/>
      </w:pPr>
      <w:bookmarkStart w:id="1" w:name="P204"/>
      <w:bookmarkEnd w:id="1"/>
      <w:r>
        <w:t>ПЕРЕЧЕНЬ</w:t>
      </w:r>
    </w:p>
    <w:p w:rsidR="00664FCE" w:rsidRDefault="00664FCE">
      <w:pPr>
        <w:pStyle w:val="ConsPlusTitle"/>
        <w:jc w:val="center"/>
      </w:pPr>
      <w:r>
        <w:t>ОБЛАСТНЫХ ГОСУДАРСТВЕННЫХ УНИТАРНЫХ</w:t>
      </w:r>
    </w:p>
    <w:p w:rsidR="00664FCE" w:rsidRDefault="00664FCE">
      <w:pPr>
        <w:pStyle w:val="ConsPlusTitle"/>
        <w:jc w:val="center"/>
      </w:pPr>
      <w:r>
        <w:t>ПРЕДПРИЯТИЙ ПО СОСТОЯНИЮ НА 31.12.2021</w:t>
      </w:r>
    </w:p>
    <w:p w:rsidR="00664FCE" w:rsidRDefault="00664FC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1924"/>
        <w:gridCol w:w="2608"/>
        <w:gridCol w:w="2438"/>
        <w:gridCol w:w="1714"/>
      </w:tblGrid>
      <w:tr w:rsidR="00664FCE">
        <w:tc>
          <w:tcPr>
            <w:tcW w:w="340" w:type="dxa"/>
          </w:tcPr>
          <w:p w:rsidR="00664FCE" w:rsidRDefault="00664FCE">
            <w:pPr>
              <w:pStyle w:val="ConsPlusNormal"/>
              <w:jc w:val="center"/>
            </w:pPr>
            <w:r>
              <w:t>N</w:t>
            </w:r>
          </w:p>
        </w:tc>
        <w:tc>
          <w:tcPr>
            <w:tcW w:w="1924" w:type="dxa"/>
          </w:tcPr>
          <w:p w:rsidR="00664FCE" w:rsidRDefault="00664FCE">
            <w:pPr>
              <w:pStyle w:val="ConsPlusNormal"/>
              <w:jc w:val="center"/>
            </w:pPr>
            <w:r>
              <w:t>Наименование предприятия</w:t>
            </w:r>
          </w:p>
        </w:tc>
        <w:tc>
          <w:tcPr>
            <w:tcW w:w="2608" w:type="dxa"/>
          </w:tcPr>
          <w:p w:rsidR="00664FCE" w:rsidRDefault="00664FCE">
            <w:pPr>
              <w:pStyle w:val="ConsPlusNormal"/>
              <w:jc w:val="center"/>
            </w:pPr>
            <w:r>
              <w:t xml:space="preserve">Обособленные подразделения - филиалы </w:t>
            </w:r>
            <w:r>
              <w:lastRenderedPageBreak/>
              <w:t>без образования юридического лица</w:t>
            </w:r>
          </w:p>
        </w:tc>
        <w:tc>
          <w:tcPr>
            <w:tcW w:w="2438" w:type="dxa"/>
          </w:tcPr>
          <w:p w:rsidR="00664FCE" w:rsidRDefault="00664FCE">
            <w:pPr>
              <w:pStyle w:val="ConsPlusNormal"/>
              <w:jc w:val="center"/>
            </w:pPr>
            <w:r>
              <w:lastRenderedPageBreak/>
              <w:t>Отраслевой орган государственной власти</w:t>
            </w:r>
          </w:p>
        </w:tc>
        <w:tc>
          <w:tcPr>
            <w:tcW w:w="1714" w:type="dxa"/>
          </w:tcPr>
          <w:p w:rsidR="00664FCE" w:rsidRDefault="00664FCE">
            <w:pPr>
              <w:pStyle w:val="ConsPlusNormal"/>
              <w:jc w:val="center"/>
            </w:pPr>
            <w:r>
              <w:t>Статус</w:t>
            </w:r>
          </w:p>
        </w:tc>
      </w:tr>
      <w:tr w:rsidR="00664FCE">
        <w:tc>
          <w:tcPr>
            <w:tcW w:w="9024" w:type="dxa"/>
            <w:gridSpan w:val="5"/>
          </w:tcPr>
          <w:p w:rsidR="00664FCE" w:rsidRDefault="00664FCE">
            <w:pPr>
              <w:pStyle w:val="ConsPlusNormal"/>
              <w:jc w:val="center"/>
            </w:pPr>
            <w:r>
              <w:lastRenderedPageBreak/>
              <w:t>Предприятия дорожного хозяйства</w:t>
            </w:r>
          </w:p>
        </w:tc>
      </w:tr>
      <w:tr w:rsidR="00664FCE">
        <w:tc>
          <w:tcPr>
            <w:tcW w:w="340" w:type="dxa"/>
            <w:vAlign w:val="center"/>
          </w:tcPr>
          <w:p w:rsidR="00664FCE" w:rsidRDefault="00664FCE">
            <w:pPr>
              <w:pStyle w:val="ConsPlusNormal"/>
              <w:jc w:val="both"/>
            </w:pPr>
            <w:r>
              <w:t>1</w:t>
            </w:r>
          </w:p>
        </w:tc>
        <w:tc>
          <w:tcPr>
            <w:tcW w:w="1924" w:type="dxa"/>
            <w:vAlign w:val="center"/>
          </w:tcPr>
          <w:p w:rsidR="00664FCE" w:rsidRDefault="00664FCE">
            <w:pPr>
              <w:pStyle w:val="ConsPlusNormal"/>
              <w:jc w:val="both"/>
            </w:pPr>
            <w:r>
              <w:t>ГУП ТО "Областное ДРСУ"</w:t>
            </w:r>
          </w:p>
        </w:tc>
        <w:tc>
          <w:tcPr>
            <w:tcW w:w="2608" w:type="dxa"/>
          </w:tcPr>
          <w:p w:rsidR="00664FCE" w:rsidRDefault="00664FCE">
            <w:pPr>
              <w:pStyle w:val="ConsPlusNormal"/>
              <w:jc w:val="both"/>
            </w:pPr>
            <w:r>
              <w:t>Томский филиал: Томская область, Томский район, с. Нелюбино, ул. Майская, 2а - 1;</w:t>
            </w:r>
          </w:p>
          <w:p w:rsidR="00664FCE" w:rsidRDefault="00664FCE">
            <w:pPr>
              <w:pStyle w:val="ConsPlusNormal"/>
              <w:jc w:val="both"/>
            </w:pPr>
            <w:r>
              <w:t>Центральный филиал: Томская область, Кривошеинский район, с. Кривошеино, ул. Ленина, 34; Северный филиал: Томская область, Колпашевский район, с. Чажемто, ул. Магистральная, 4; Южный филиал: Томская область, г. Асино, ул. Ленина, 130</w:t>
            </w:r>
          </w:p>
        </w:tc>
        <w:tc>
          <w:tcPr>
            <w:tcW w:w="2438" w:type="dxa"/>
            <w:vMerge w:val="restart"/>
            <w:vAlign w:val="center"/>
          </w:tcPr>
          <w:p w:rsidR="00664FCE" w:rsidRDefault="00664FCE">
            <w:pPr>
              <w:pStyle w:val="ConsPlusNormal"/>
              <w:jc w:val="both"/>
            </w:pPr>
            <w:r>
              <w:t>Департамент транспорта, дорожной деятельности и связи Томской области</w:t>
            </w:r>
          </w:p>
        </w:tc>
        <w:tc>
          <w:tcPr>
            <w:tcW w:w="1714" w:type="dxa"/>
            <w:vAlign w:val="center"/>
          </w:tcPr>
          <w:p w:rsidR="00664FCE" w:rsidRDefault="00664FCE">
            <w:pPr>
              <w:pStyle w:val="ConsPlusNormal"/>
              <w:jc w:val="both"/>
            </w:pPr>
            <w:r>
              <w:t>действующее</w:t>
            </w:r>
          </w:p>
        </w:tc>
      </w:tr>
      <w:tr w:rsidR="00664FCE">
        <w:tc>
          <w:tcPr>
            <w:tcW w:w="340" w:type="dxa"/>
            <w:vAlign w:val="center"/>
          </w:tcPr>
          <w:p w:rsidR="00664FCE" w:rsidRDefault="00664FCE">
            <w:pPr>
              <w:pStyle w:val="ConsPlusNormal"/>
              <w:jc w:val="both"/>
            </w:pPr>
            <w:r>
              <w:t>2</w:t>
            </w:r>
          </w:p>
        </w:tc>
        <w:tc>
          <w:tcPr>
            <w:tcW w:w="1924" w:type="dxa"/>
            <w:vAlign w:val="center"/>
          </w:tcPr>
          <w:p w:rsidR="00664FCE" w:rsidRDefault="00664FCE">
            <w:pPr>
              <w:pStyle w:val="ConsPlusNormal"/>
              <w:jc w:val="both"/>
            </w:pPr>
            <w:r>
              <w:t>ОГУП "Кожевниковское ДРСУ"</w:t>
            </w:r>
          </w:p>
        </w:tc>
        <w:tc>
          <w:tcPr>
            <w:tcW w:w="2608" w:type="dxa"/>
          </w:tcPr>
          <w:p w:rsidR="00664FCE" w:rsidRDefault="00664FCE">
            <w:pPr>
              <w:pStyle w:val="ConsPlusNormal"/>
              <w:jc w:val="both"/>
            </w:pPr>
            <w:r>
              <w:t>-</w:t>
            </w:r>
          </w:p>
        </w:tc>
        <w:tc>
          <w:tcPr>
            <w:tcW w:w="2438" w:type="dxa"/>
            <w:vMerge/>
          </w:tcPr>
          <w:p w:rsidR="00664FCE" w:rsidRDefault="00664FCE">
            <w:pPr>
              <w:pStyle w:val="ConsPlusNormal"/>
            </w:pPr>
          </w:p>
        </w:tc>
        <w:tc>
          <w:tcPr>
            <w:tcW w:w="1714" w:type="dxa"/>
            <w:vAlign w:val="center"/>
          </w:tcPr>
          <w:p w:rsidR="00664FCE" w:rsidRDefault="00664FCE">
            <w:pPr>
              <w:pStyle w:val="ConsPlusNormal"/>
              <w:jc w:val="both"/>
            </w:pPr>
            <w:r>
              <w:t>действующее</w:t>
            </w:r>
          </w:p>
        </w:tc>
      </w:tr>
      <w:tr w:rsidR="00664FCE">
        <w:tc>
          <w:tcPr>
            <w:tcW w:w="9024" w:type="dxa"/>
            <w:gridSpan w:val="5"/>
          </w:tcPr>
          <w:p w:rsidR="00664FCE" w:rsidRDefault="00664FCE">
            <w:pPr>
              <w:pStyle w:val="ConsPlusNormal"/>
              <w:jc w:val="center"/>
            </w:pPr>
            <w:r>
              <w:t>Прочие виды деятельности</w:t>
            </w:r>
          </w:p>
        </w:tc>
      </w:tr>
      <w:tr w:rsidR="00664FCE">
        <w:tc>
          <w:tcPr>
            <w:tcW w:w="340" w:type="dxa"/>
            <w:vAlign w:val="center"/>
          </w:tcPr>
          <w:p w:rsidR="00664FCE" w:rsidRDefault="00664FCE">
            <w:pPr>
              <w:pStyle w:val="ConsPlusNormal"/>
              <w:jc w:val="both"/>
            </w:pPr>
            <w:r>
              <w:t>3</w:t>
            </w:r>
          </w:p>
        </w:tc>
        <w:tc>
          <w:tcPr>
            <w:tcW w:w="1924" w:type="dxa"/>
            <w:vAlign w:val="center"/>
          </w:tcPr>
          <w:p w:rsidR="00664FCE" w:rsidRDefault="00664FCE">
            <w:pPr>
              <w:pStyle w:val="ConsPlusNormal"/>
              <w:jc w:val="both"/>
            </w:pPr>
            <w:r>
              <w:t>ОГУП "Областной аптечный склад"</w:t>
            </w:r>
          </w:p>
        </w:tc>
        <w:tc>
          <w:tcPr>
            <w:tcW w:w="2608" w:type="dxa"/>
          </w:tcPr>
          <w:p w:rsidR="00664FCE" w:rsidRDefault="00664FCE">
            <w:pPr>
              <w:pStyle w:val="ConsPlusNormal"/>
              <w:jc w:val="both"/>
            </w:pPr>
            <w:r>
              <w:t>"Губернская аптека" в с. Первомайское по адресу: Томская область, Первомайский район, с. Первомайское, ул. Больничная, д. 3, стр. 1; "Губернская аптека" в г. Северске по адресу: Томская область, г. Северск, пр. Коммунистический, д. 64; "Губернская аптека" в с. Бакчар по адресу: Томская область, Бакчарский район, с. Бакчар, ул. Пролетарская, д. 50 (2 этаж); "Губернская аптека" в с. Александровское по адресу: Томская область, Александровский район, с. Александровское, ул. Толпарова, д. 18</w:t>
            </w:r>
          </w:p>
        </w:tc>
        <w:tc>
          <w:tcPr>
            <w:tcW w:w="2438" w:type="dxa"/>
            <w:vAlign w:val="center"/>
          </w:tcPr>
          <w:p w:rsidR="00664FCE" w:rsidRDefault="00664FCE">
            <w:pPr>
              <w:pStyle w:val="ConsPlusNormal"/>
              <w:jc w:val="both"/>
            </w:pPr>
            <w:r>
              <w:t>Департамент здравоохранения Томской области</w:t>
            </w:r>
          </w:p>
        </w:tc>
        <w:tc>
          <w:tcPr>
            <w:tcW w:w="1714" w:type="dxa"/>
            <w:vAlign w:val="center"/>
          </w:tcPr>
          <w:p w:rsidR="00664FCE" w:rsidRDefault="00664FCE">
            <w:pPr>
              <w:pStyle w:val="ConsPlusNormal"/>
              <w:jc w:val="both"/>
            </w:pPr>
            <w:r>
              <w:t>действующее</w:t>
            </w:r>
          </w:p>
        </w:tc>
      </w:tr>
      <w:tr w:rsidR="00664FCE">
        <w:tc>
          <w:tcPr>
            <w:tcW w:w="340" w:type="dxa"/>
            <w:vAlign w:val="center"/>
          </w:tcPr>
          <w:p w:rsidR="00664FCE" w:rsidRDefault="00664FCE">
            <w:pPr>
              <w:pStyle w:val="ConsPlusNormal"/>
              <w:jc w:val="both"/>
            </w:pPr>
            <w:r>
              <w:t>4</w:t>
            </w:r>
          </w:p>
        </w:tc>
        <w:tc>
          <w:tcPr>
            <w:tcW w:w="1924" w:type="dxa"/>
            <w:vAlign w:val="center"/>
          </w:tcPr>
          <w:p w:rsidR="00664FCE" w:rsidRDefault="00664FCE">
            <w:pPr>
              <w:pStyle w:val="ConsPlusNormal"/>
              <w:jc w:val="both"/>
            </w:pPr>
            <w:r>
              <w:t>ОГУП "Бакчарское"</w:t>
            </w:r>
          </w:p>
        </w:tc>
        <w:tc>
          <w:tcPr>
            <w:tcW w:w="2608" w:type="dxa"/>
          </w:tcPr>
          <w:p w:rsidR="00664FCE" w:rsidRDefault="00664FCE">
            <w:pPr>
              <w:pStyle w:val="ConsPlusNormal"/>
            </w:pPr>
          </w:p>
        </w:tc>
        <w:tc>
          <w:tcPr>
            <w:tcW w:w="2438" w:type="dxa"/>
            <w:vAlign w:val="center"/>
          </w:tcPr>
          <w:p w:rsidR="00664FCE" w:rsidRDefault="00664FCE">
            <w:pPr>
              <w:pStyle w:val="ConsPlusNormal"/>
              <w:jc w:val="both"/>
            </w:pPr>
            <w:r>
              <w:t xml:space="preserve">Департамент по социально-экономическому </w:t>
            </w:r>
            <w:r>
              <w:lastRenderedPageBreak/>
              <w:t>развитию села Томской области</w:t>
            </w:r>
          </w:p>
        </w:tc>
        <w:tc>
          <w:tcPr>
            <w:tcW w:w="1714" w:type="dxa"/>
            <w:vAlign w:val="center"/>
          </w:tcPr>
          <w:p w:rsidR="00664FCE" w:rsidRDefault="00664FCE">
            <w:pPr>
              <w:pStyle w:val="ConsPlusNormal"/>
              <w:jc w:val="both"/>
            </w:pPr>
            <w:r>
              <w:lastRenderedPageBreak/>
              <w:t>действующее</w:t>
            </w:r>
          </w:p>
        </w:tc>
      </w:tr>
      <w:tr w:rsidR="00664FCE">
        <w:tc>
          <w:tcPr>
            <w:tcW w:w="9024" w:type="dxa"/>
            <w:gridSpan w:val="5"/>
            <w:vAlign w:val="center"/>
          </w:tcPr>
          <w:p w:rsidR="00664FCE" w:rsidRDefault="00664FCE">
            <w:pPr>
              <w:pStyle w:val="ConsPlusNormal"/>
              <w:jc w:val="center"/>
            </w:pPr>
            <w:r>
              <w:lastRenderedPageBreak/>
              <w:t>Предприятия, находящиеся в процедуре банкротства</w:t>
            </w:r>
          </w:p>
        </w:tc>
      </w:tr>
      <w:tr w:rsidR="00664FCE">
        <w:tc>
          <w:tcPr>
            <w:tcW w:w="340" w:type="dxa"/>
            <w:vAlign w:val="center"/>
          </w:tcPr>
          <w:p w:rsidR="00664FCE" w:rsidRDefault="00664FCE">
            <w:pPr>
              <w:pStyle w:val="ConsPlusNormal"/>
              <w:jc w:val="both"/>
            </w:pPr>
            <w:r>
              <w:t>5</w:t>
            </w:r>
          </w:p>
        </w:tc>
        <w:tc>
          <w:tcPr>
            <w:tcW w:w="1924" w:type="dxa"/>
            <w:vAlign w:val="center"/>
          </w:tcPr>
          <w:p w:rsidR="00664FCE" w:rsidRDefault="00664FCE">
            <w:pPr>
              <w:pStyle w:val="ConsPlusNormal"/>
              <w:jc w:val="both"/>
            </w:pPr>
            <w:r>
              <w:t>ОГУП "Первомайское ДРСУ"</w:t>
            </w:r>
          </w:p>
        </w:tc>
        <w:tc>
          <w:tcPr>
            <w:tcW w:w="2608" w:type="dxa"/>
          </w:tcPr>
          <w:p w:rsidR="00664FCE" w:rsidRDefault="00664FCE">
            <w:pPr>
              <w:pStyle w:val="ConsPlusNormal"/>
              <w:jc w:val="both"/>
            </w:pPr>
            <w:r>
              <w:t>Конкурсное производство с 04.03.2015 по 21.03.2022. 29.03.2022 в ЕГРЮЛ внесена запись о ликвидации предприятия в связи с завершением конкурсного производства</w:t>
            </w:r>
          </w:p>
        </w:tc>
        <w:tc>
          <w:tcPr>
            <w:tcW w:w="2438" w:type="dxa"/>
            <w:vAlign w:val="center"/>
          </w:tcPr>
          <w:p w:rsidR="00664FCE" w:rsidRDefault="00664FCE">
            <w:pPr>
              <w:pStyle w:val="ConsPlusNormal"/>
              <w:jc w:val="both"/>
            </w:pPr>
            <w:r>
              <w:t>Департамент по социально-экономическому развитию села Томской области</w:t>
            </w:r>
          </w:p>
        </w:tc>
        <w:tc>
          <w:tcPr>
            <w:tcW w:w="1714" w:type="dxa"/>
            <w:vAlign w:val="center"/>
          </w:tcPr>
          <w:p w:rsidR="00664FCE" w:rsidRDefault="00664FCE">
            <w:pPr>
              <w:pStyle w:val="ConsPlusNormal"/>
              <w:jc w:val="both"/>
            </w:pPr>
            <w:r>
              <w:t>ликвидировано</w:t>
            </w:r>
          </w:p>
        </w:tc>
      </w:tr>
    </w:tbl>
    <w:p w:rsidR="00664FCE" w:rsidRDefault="00664FCE">
      <w:pPr>
        <w:pStyle w:val="ConsPlusNormal"/>
        <w:jc w:val="both"/>
      </w:pPr>
    </w:p>
    <w:p w:rsidR="00664FCE" w:rsidRDefault="00664FCE">
      <w:pPr>
        <w:pStyle w:val="ConsPlusNormal"/>
        <w:jc w:val="both"/>
      </w:pPr>
    </w:p>
    <w:p w:rsidR="00664FCE" w:rsidRDefault="00664FCE">
      <w:pPr>
        <w:pStyle w:val="ConsPlusNormal"/>
        <w:jc w:val="both"/>
      </w:pPr>
    </w:p>
    <w:p w:rsidR="00664FCE" w:rsidRDefault="00664FCE">
      <w:pPr>
        <w:pStyle w:val="ConsPlusNormal"/>
        <w:jc w:val="both"/>
      </w:pPr>
    </w:p>
    <w:p w:rsidR="00664FCE" w:rsidRDefault="00664FCE">
      <w:pPr>
        <w:pStyle w:val="ConsPlusNormal"/>
        <w:jc w:val="both"/>
      </w:pPr>
    </w:p>
    <w:p w:rsidR="00664FCE" w:rsidRDefault="00664FCE">
      <w:pPr>
        <w:pStyle w:val="ConsPlusNormal"/>
        <w:jc w:val="right"/>
        <w:outlineLvl w:val="1"/>
      </w:pPr>
      <w:r>
        <w:t>Приложение 2</w:t>
      </w:r>
    </w:p>
    <w:p w:rsidR="00664FCE" w:rsidRDefault="00664FCE">
      <w:pPr>
        <w:pStyle w:val="ConsPlusNormal"/>
        <w:jc w:val="right"/>
      </w:pPr>
      <w:r>
        <w:t>к отчету</w:t>
      </w:r>
    </w:p>
    <w:p w:rsidR="00664FCE" w:rsidRDefault="00664FCE">
      <w:pPr>
        <w:pStyle w:val="ConsPlusNormal"/>
        <w:jc w:val="right"/>
      </w:pPr>
      <w:r>
        <w:t>о деятельности областных государственных</w:t>
      </w:r>
    </w:p>
    <w:p w:rsidR="00664FCE" w:rsidRDefault="00664FCE">
      <w:pPr>
        <w:pStyle w:val="ConsPlusNormal"/>
        <w:jc w:val="right"/>
      </w:pPr>
      <w:r>
        <w:t>унитарных предприятий за 2021 год</w:t>
      </w:r>
    </w:p>
    <w:p w:rsidR="00664FCE" w:rsidRDefault="00664FCE">
      <w:pPr>
        <w:pStyle w:val="ConsPlusNormal"/>
        <w:jc w:val="both"/>
      </w:pPr>
    </w:p>
    <w:p w:rsidR="00664FCE" w:rsidRDefault="00664FCE">
      <w:pPr>
        <w:pStyle w:val="ConsPlusTitle"/>
        <w:jc w:val="center"/>
      </w:pPr>
      <w:bookmarkStart w:id="2" w:name="P251"/>
      <w:bookmarkEnd w:id="2"/>
      <w:r>
        <w:t>ОСНОВНЫЕ ПОКАЗАТЕЛИ</w:t>
      </w:r>
    </w:p>
    <w:p w:rsidR="00664FCE" w:rsidRDefault="00664FCE">
      <w:pPr>
        <w:pStyle w:val="ConsPlusTitle"/>
        <w:jc w:val="center"/>
      </w:pPr>
      <w:r>
        <w:t>ФИНАНСОВО-ХОЗЯЙСТВЕННОЙ ДЕЯТЕЛЬНОСТИ ОБЛАСТНЫХ</w:t>
      </w:r>
    </w:p>
    <w:p w:rsidR="00664FCE" w:rsidRDefault="00664FCE">
      <w:pPr>
        <w:pStyle w:val="ConsPlusTitle"/>
        <w:jc w:val="center"/>
      </w:pPr>
      <w:r>
        <w:t>ГОСУДАРСТВЕННЫХ УНИТАРНЫХ ПРЕДПРИЯТИЙ</w:t>
      </w:r>
    </w:p>
    <w:p w:rsidR="00664FCE" w:rsidRDefault="00664FCE">
      <w:pPr>
        <w:pStyle w:val="ConsPlusNormal"/>
        <w:jc w:val="both"/>
      </w:pPr>
    </w:p>
    <w:p w:rsidR="00664FCE" w:rsidRDefault="00664FCE">
      <w:pPr>
        <w:pStyle w:val="ConsPlusNormal"/>
        <w:sectPr w:rsidR="00664FCE" w:rsidSect="00C066F9">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2584"/>
        <w:gridCol w:w="964"/>
        <w:gridCol w:w="964"/>
        <w:gridCol w:w="964"/>
        <w:gridCol w:w="844"/>
        <w:gridCol w:w="724"/>
        <w:gridCol w:w="724"/>
        <w:gridCol w:w="1204"/>
        <w:gridCol w:w="1204"/>
        <w:gridCol w:w="1204"/>
        <w:gridCol w:w="1204"/>
      </w:tblGrid>
      <w:tr w:rsidR="00664FCE">
        <w:tc>
          <w:tcPr>
            <w:tcW w:w="340" w:type="dxa"/>
            <w:vMerge w:val="restart"/>
            <w:vAlign w:val="center"/>
          </w:tcPr>
          <w:p w:rsidR="00664FCE" w:rsidRDefault="00664FCE">
            <w:pPr>
              <w:pStyle w:val="ConsPlusNormal"/>
              <w:jc w:val="center"/>
            </w:pPr>
            <w:r>
              <w:lastRenderedPageBreak/>
              <w:t>N</w:t>
            </w:r>
          </w:p>
        </w:tc>
        <w:tc>
          <w:tcPr>
            <w:tcW w:w="2584" w:type="dxa"/>
            <w:vMerge w:val="restart"/>
            <w:vAlign w:val="center"/>
          </w:tcPr>
          <w:p w:rsidR="00664FCE" w:rsidRDefault="00664FCE">
            <w:pPr>
              <w:pStyle w:val="ConsPlusNormal"/>
              <w:jc w:val="center"/>
            </w:pPr>
            <w:r>
              <w:t>Наименование предприятия</w:t>
            </w:r>
          </w:p>
        </w:tc>
        <w:tc>
          <w:tcPr>
            <w:tcW w:w="2892" w:type="dxa"/>
            <w:gridSpan w:val="3"/>
            <w:vAlign w:val="center"/>
          </w:tcPr>
          <w:p w:rsidR="00664FCE" w:rsidRDefault="00664FCE">
            <w:pPr>
              <w:pStyle w:val="ConsPlusNormal"/>
              <w:jc w:val="center"/>
            </w:pPr>
            <w:r>
              <w:t>Выручка от реализации, тыс. руб.</w:t>
            </w:r>
          </w:p>
        </w:tc>
        <w:tc>
          <w:tcPr>
            <w:tcW w:w="2292" w:type="dxa"/>
            <w:gridSpan w:val="3"/>
            <w:vAlign w:val="center"/>
          </w:tcPr>
          <w:p w:rsidR="00664FCE" w:rsidRDefault="00664FCE">
            <w:pPr>
              <w:pStyle w:val="ConsPlusNormal"/>
              <w:jc w:val="center"/>
            </w:pPr>
            <w:r>
              <w:t>Чистая прибыль, тыс. руб.</w:t>
            </w:r>
          </w:p>
        </w:tc>
        <w:tc>
          <w:tcPr>
            <w:tcW w:w="4816" w:type="dxa"/>
            <w:gridSpan w:val="4"/>
            <w:vAlign w:val="center"/>
          </w:tcPr>
          <w:p w:rsidR="00664FCE" w:rsidRDefault="00664FCE">
            <w:pPr>
              <w:pStyle w:val="ConsPlusNormal"/>
              <w:jc w:val="center"/>
            </w:pPr>
            <w:r>
              <w:t>Стоимость основных средств, тыс. руб.</w:t>
            </w:r>
          </w:p>
        </w:tc>
      </w:tr>
      <w:tr w:rsidR="00664FCE">
        <w:tc>
          <w:tcPr>
            <w:tcW w:w="340" w:type="dxa"/>
            <w:vMerge/>
          </w:tcPr>
          <w:p w:rsidR="00664FCE" w:rsidRDefault="00664FCE">
            <w:pPr>
              <w:pStyle w:val="ConsPlusNormal"/>
            </w:pPr>
          </w:p>
        </w:tc>
        <w:tc>
          <w:tcPr>
            <w:tcW w:w="2584" w:type="dxa"/>
            <w:vMerge/>
          </w:tcPr>
          <w:p w:rsidR="00664FCE" w:rsidRDefault="00664FCE">
            <w:pPr>
              <w:pStyle w:val="ConsPlusNormal"/>
            </w:pPr>
          </w:p>
        </w:tc>
        <w:tc>
          <w:tcPr>
            <w:tcW w:w="964" w:type="dxa"/>
            <w:vMerge w:val="restart"/>
            <w:vAlign w:val="center"/>
          </w:tcPr>
          <w:p w:rsidR="00664FCE" w:rsidRDefault="00664FCE">
            <w:pPr>
              <w:pStyle w:val="ConsPlusNormal"/>
              <w:jc w:val="center"/>
            </w:pPr>
            <w:r>
              <w:t>2020 год (факт)</w:t>
            </w:r>
          </w:p>
        </w:tc>
        <w:tc>
          <w:tcPr>
            <w:tcW w:w="1928" w:type="dxa"/>
            <w:gridSpan w:val="2"/>
            <w:vAlign w:val="center"/>
          </w:tcPr>
          <w:p w:rsidR="00664FCE" w:rsidRDefault="00664FCE">
            <w:pPr>
              <w:pStyle w:val="ConsPlusNormal"/>
              <w:jc w:val="center"/>
            </w:pPr>
            <w:r>
              <w:t>2021 год</w:t>
            </w:r>
          </w:p>
        </w:tc>
        <w:tc>
          <w:tcPr>
            <w:tcW w:w="844" w:type="dxa"/>
            <w:vMerge w:val="restart"/>
            <w:vAlign w:val="center"/>
          </w:tcPr>
          <w:p w:rsidR="00664FCE" w:rsidRDefault="00664FCE">
            <w:pPr>
              <w:pStyle w:val="ConsPlusNormal"/>
              <w:jc w:val="center"/>
            </w:pPr>
            <w:r>
              <w:t>2020 год (факт)</w:t>
            </w:r>
          </w:p>
        </w:tc>
        <w:tc>
          <w:tcPr>
            <w:tcW w:w="1448" w:type="dxa"/>
            <w:gridSpan w:val="2"/>
            <w:vAlign w:val="center"/>
          </w:tcPr>
          <w:p w:rsidR="00664FCE" w:rsidRDefault="00664FCE">
            <w:pPr>
              <w:pStyle w:val="ConsPlusNormal"/>
              <w:jc w:val="center"/>
            </w:pPr>
            <w:r>
              <w:t>2021 год</w:t>
            </w:r>
          </w:p>
        </w:tc>
        <w:tc>
          <w:tcPr>
            <w:tcW w:w="2408" w:type="dxa"/>
            <w:gridSpan w:val="2"/>
            <w:vAlign w:val="center"/>
          </w:tcPr>
          <w:p w:rsidR="00664FCE" w:rsidRDefault="00664FCE">
            <w:pPr>
              <w:pStyle w:val="ConsPlusNormal"/>
              <w:jc w:val="center"/>
            </w:pPr>
            <w:r>
              <w:t>первоначальная</w:t>
            </w:r>
          </w:p>
        </w:tc>
        <w:tc>
          <w:tcPr>
            <w:tcW w:w="2408" w:type="dxa"/>
            <w:gridSpan w:val="2"/>
            <w:vAlign w:val="center"/>
          </w:tcPr>
          <w:p w:rsidR="00664FCE" w:rsidRDefault="00664FCE">
            <w:pPr>
              <w:pStyle w:val="ConsPlusNormal"/>
              <w:jc w:val="center"/>
            </w:pPr>
            <w:r>
              <w:t>остаточная</w:t>
            </w:r>
          </w:p>
        </w:tc>
      </w:tr>
      <w:tr w:rsidR="00664FCE">
        <w:tc>
          <w:tcPr>
            <w:tcW w:w="340" w:type="dxa"/>
            <w:vMerge/>
          </w:tcPr>
          <w:p w:rsidR="00664FCE" w:rsidRDefault="00664FCE">
            <w:pPr>
              <w:pStyle w:val="ConsPlusNormal"/>
            </w:pPr>
          </w:p>
        </w:tc>
        <w:tc>
          <w:tcPr>
            <w:tcW w:w="2584" w:type="dxa"/>
            <w:vMerge/>
          </w:tcPr>
          <w:p w:rsidR="00664FCE" w:rsidRDefault="00664FCE">
            <w:pPr>
              <w:pStyle w:val="ConsPlusNormal"/>
            </w:pPr>
          </w:p>
        </w:tc>
        <w:tc>
          <w:tcPr>
            <w:tcW w:w="964" w:type="dxa"/>
            <w:vMerge/>
          </w:tcPr>
          <w:p w:rsidR="00664FCE" w:rsidRDefault="00664FCE">
            <w:pPr>
              <w:pStyle w:val="ConsPlusNormal"/>
            </w:pPr>
          </w:p>
        </w:tc>
        <w:tc>
          <w:tcPr>
            <w:tcW w:w="964" w:type="dxa"/>
            <w:vAlign w:val="center"/>
          </w:tcPr>
          <w:p w:rsidR="00664FCE" w:rsidRDefault="00664FCE">
            <w:pPr>
              <w:pStyle w:val="ConsPlusNormal"/>
              <w:jc w:val="center"/>
            </w:pPr>
            <w:r>
              <w:t>план</w:t>
            </w:r>
          </w:p>
        </w:tc>
        <w:tc>
          <w:tcPr>
            <w:tcW w:w="964" w:type="dxa"/>
            <w:vAlign w:val="center"/>
          </w:tcPr>
          <w:p w:rsidR="00664FCE" w:rsidRDefault="00664FCE">
            <w:pPr>
              <w:pStyle w:val="ConsPlusNormal"/>
              <w:jc w:val="center"/>
            </w:pPr>
            <w:r>
              <w:t>факт</w:t>
            </w:r>
          </w:p>
        </w:tc>
        <w:tc>
          <w:tcPr>
            <w:tcW w:w="844" w:type="dxa"/>
            <w:vMerge/>
          </w:tcPr>
          <w:p w:rsidR="00664FCE" w:rsidRDefault="00664FCE">
            <w:pPr>
              <w:pStyle w:val="ConsPlusNormal"/>
            </w:pPr>
          </w:p>
        </w:tc>
        <w:tc>
          <w:tcPr>
            <w:tcW w:w="724" w:type="dxa"/>
            <w:vAlign w:val="center"/>
          </w:tcPr>
          <w:p w:rsidR="00664FCE" w:rsidRDefault="00664FCE">
            <w:pPr>
              <w:pStyle w:val="ConsPlusNormal"/>
              <w:jc w:val="center"/>
            </w:pPr>
            <w:r>
              <w:t>план</w:t>
            </w:r>
          </w:p>
        </w:tc>
        <w:tc>
          <w:tcPr>
            <w:tcW w:w="724" w:type="dxa"/>
            <w:vAlign w:val="center"/>
          </w:tcPr>
          <w:p w:rsidR="00664FCE" w:rsidRDefault="00664FCE">
            <w:pPr>
              <w:pStyle w:val="ConsPlusNormal"/>
              <w:jc w:val="center"/>
            </w:pPr>
            <w:r>
              <w:t>факт</w:t>
            </w:r>
          </w:p>
        </w:tc>
        <w:tc>
          <w:tcPr>
            <w:tcW w:w="1204" w:type="dxa"/>
            <w:vAlign w:val="center"/>
          </w:tcPr>
          <w:p w:rsidR="00664FCE" w:rsidRDefault="00664FCE">
            <w:pPr>
              <w:pStyle w:val="ConsPlusNormal"/>
              <w:jc w:val="center"/>
            </w:pPr>
            <w:r>
              <w:t>31.12.2020</w:t>
            </w:r>
          </w:p>
        </w:tc>
        <w:tc>
          <w:tcPr>
            <w:tcW w:w="1204" w:type="dxa"/>
            <w:vAlign w:val="center"/>
          </w:tcPr>
          <w:p w:rsidR="00664FCE" w:rsidRDefault="00664FCE">
            <w:pPr>
              <w:pStyle w:val="ConsPlusNormal"/>
              <w:jc w:val="center"/>
            </w:pPr>
            <w:r>
              <w:t>31.12.2021</w:t>
            </w:r>
          </w:p>
        </w:tc>
        <w:tc>
          <w:tcPr>
            <w:tcW w:w="1204" w:type="dxa"/>
            <w:vAlign w:val="center"/>
          </w:tcPr>
          <w:p w:rsidR="00664FCE" w:rsidRDefault="00664FCE">
            <w:pPr>
              <w:pStyle w:val="ConsPlusNormal"/>
              <w:jc w:val="center"/>
            </w:pPr>
            <w:r>
              <w:t>31.12.2020</w:t>
            </w:r>
          </w:p>
        </w:tc>
        <w:tc>
          <w:tcPr>
            <w:tcW w:w="1204" w:type="dxa"/>
            <w:vAlign w:val="center"/>
          </w:tcPr>
          <w:p w:rsidR="00664FCE" w:rsidRDefault="00664FCE">
            <w:pPr>
              <w:pStyle w:val="ConsPlusNormal"/>
              <w:jc w:val="center"/>
            </w:pPr>
            <w:r>
              <w:t>31.12.2021</w:t>
            </w:r>
          </w:p>
        </w:tc>
      </w:tr>
      <w:tr w:rsidR="00664FCE">
        <w:tc>
          <w:tcPr>
            <w:tcW w:w="340" w:type="dxa"/>
            <w:vAlign w:val="center"/>
          </w:tcPr>
          <w:p w:rsidR="00664FCE" w:rsidRDefault="00664FCE">
            <w:pPr>
              <w:pStyle w:val="ConsPlusNormal"/>
              <w:jc w:val="both"/>
            </w:pPr>
            <w:r>
              <w:t>1</w:t>
            </w:r>
          </w:p>
        </w:tc>
        <w:tc>
          <w:tcPr>
            <w:tcW w:w="2584" w:type="dxa"/>
            <w:vAlign w:val="center"/>
          </w:tcPr>
          <w:p w:rsidR="00664FCE" w:rsidRDefault="00664FCE">
            <w:pPr>
              <w:pStyle w:val="ConsPlusNormal"/>
              <w:jc w:val="both"/>
            </w:pPr>
            <w:r>
              <w:t>ГУП ТО "Областное дорожное ремонтно-строительное управление"</w:t>
            </w:r>
          </w:p>
        </w:tc>
        <w:tc>
          <w:tcPr>
            <w:tcW w:w="964" w:type="dxa"/>
            <w:vAlign w:val="center"/>
          </w:tcPr>
          <w:p w:rsidR="00664FCE" w:rsidRDefault="00664FCE">
            <w:pPr>
              <w:pStyle w:val="ConsPlusNormal"/>
              <w:jc w:val="center"/>
            </w:pPr>
            <w:r>
              <w:t>3436189</w:t>
            </w:r>
          </w:p>
        </w:tc>
        <w:tc>
          <w:tcPr>
            <w:tcW w:w="964" w:type="dxa"/>
            <w:vAlign w:val="center"/>
          </w:tcPr>
          <w:p w:rsidR="00664FCE" w:rsidRDefault="00664FCE">
            <w:pPr>
              <w:pStyle w:val="ConsPlusNormal"/>
              <w:jc w:val="center"/>
            </w:pPr>
            <w:r>
              <w:t>2925401</w:t>
            </w:r>
          </w:p>
        </w:tc>
        <w:tc>
          <w:tcPr>
            <w:tcW w:w="964" w:type="dxa"/>
            <w:vAlign w:val="center"/>
          </w:tcPr>
          <w:p w:rsidR="00664FCE" w:rsidRDefault="00664FCE">
            <w:pPr>
              <w:pStyle w:val="ConsPlusNormal"/>
              <w:jc w:val="center"/>
            </w:pPr>
            <w:r>
              <w:t>3726143</w:t>
            </w:r>
          </w:p>
        </w:tc>
        <w:tc>
          <w:tcPr>
            <w:tcW w:w="844" w:type="dxa"/>
            <w:vAlign w:val="center"/>
          </w:tcPr>
          <w:p w:rsidR="00664FCE" w:rsidRDefault="00664FCE">
            <w:pPr>
              <w:pStyle w:val="ConsPlusNormal"/>
              <w:jc w:val="center"/>
            </w:pPr>
            <w:r>
              <w:t>69362</w:t>
            </w:r>
          </w:p>
        </w:tc>
        <w:tc>
          <w:tcPr>
            <w:tcW w:w="724" w:type="dxa"/>
            <w:vAlign w:val="center"/>
          </w:tcPr>
          <w:p w:rsidR="00664FCE" w:rsidRDefault="00664FCE">
            <w:pPr>
              <w:pStyle w:val="ConsPlusNormal"/>
              <w:jc w:val="center"/>
            </w:pPr>
            <w:r>
              <w:t>46345</w:t>
            </w:r>
          </w:p>
        </w:tc>
        <w:tc>
          <w:tcPr>
            <w:tcW w:w="724" w:type="dxa"/>
            <w:vAlign w:val="center"/>
          </w:tcPr>
          <w:p w:rsidR="00664FCE" w:rsidRDefault="00664FCE">
            <w:pPr>
              <w:pStyle w:val="ConsPlusNormal"/>
              <w:jc w:val="center"/>
            </w:pPr>
            <w:r>
              <w:t>12688</w:t>
            </w:r>
          </w:p>
        </w:tc>
        <w:tc>
          <w:tcPr>
            <w:tcW w:w="1204" w:type="dxa"/>
            <w:vAlign w:val="center"/>
          </w:tcPr>
          <w:p w:rsidR="00664FCE" w:rsidRDefault="00664FCE">
            <w:pPr>
              <w:pStyle w:val="ConsPlusNormal"/>
              <w:jc w:val="center"/>
            </w:pPr>
            <w:r>
              <w:t>1599925</w:t>
            </w:r>
          </w:p>
        </w:tc>
        <w:tc>
          <w:tcPr>
            <w:tcW w:w="1204" w:type="dxa"/>
            <w:vAlign w:val="center"/>
          </w:tcPr>
          <w:p w:rsidR="00664FCE" w:rsidRDefault="00664FCE">
            <w:pPr>
              <w:pStyle w:val="ConsPlusNormal"/>
              <w:jc w:val="center"/>
            </w:pPr>
            <w:r>
              <w:t>1860187</w:t>
            </w:r>
          </w:p>
        </w:tc>
        <w:tc>
          <w:tcPr>
            <w:tcW w:w="1204" w:type="dxa"/>
            <w:vAlign w:val="center"/>
          </w:tcPr>
          <w:p w:rsidR="00664FCE" w:rsidRDefault="00664FCE">
            <w:pPr>
              <w:pStyle w:val="ConsPlusNormal"/>
              <w:jc w:val="center"/>
            </w:pPr>
            <w:r>
              <w:t>639149</w:t>
            </w:r>
          </w:p>
        </w:tc>
        <w:tc>
          <w:tcPr>
            <w:tcW w:w="1204" w:type="dxa"/>
            <w:vAlign w:val="center"/>
          </w:tcPr>
          <w:p w:rsidR="00664FCE" w:rsidRDefault="00664FCE">
            <w:pPr>
              <w:pStyle w:val="ConsPlusNormal"/>
              <w:jc w:val="center"/>
            </w:pPr>
            <w:r>
              <w:t>810816</w:t>
            </w:r>
          </w:p>
        </w:tc>
      </w:tr>
      <w:tr w:rsidR="00664FCE">
        <w:tc>
          <w:tcPr>
            <w:tcW w:w="340" w:type="dxa"/>
            <w:vAlign w:val="center"/>
          </w:tcPr>
          <w:p w:rsidR="00664FCE" w:rsidRDefault="00664FCE">
            <w:pPr>
              <w:pStyle w:val="ConsPlusNormal"/>
              <w:jc w:val="both"/>
            </w:pPr>
            <w:r>
              <w:t>2</w:t>
            </w:r>
          </w:p>
        </w:tc>
        <w:tc>
          <w:tcPr>
            <w:tcW w:w="2584" w:type="dxa"/>
            <w:vAlign w:val="center"/>
          </w:tcPr>
          <w:p w:rsidR="00664FCE" w:rsidRDefault="00664FCE">
            <w:pPr>
              <w:pStyle w:val="ConsPlusNormal"/>
              <w:jc w:val="both"/>
            </w:pPr>
            <w:r>
              <w:t>ОГУП "Кожевниковское дорожное ремонтно-строительное управление"</w:t>
            </w:r>
          </w:p>
        </w:tc>
        <w:tc>
          <w:tcPr>
            <w:tcW w:w="964" w:type="dxa"/>
            <w:vAlign w:val="center"/>
          </w:tcPr>
          <w:p w:rsidR="00664FCE" w:rsidRDefault="00664FCE">
            <w:pPr>
              <w:pStyle w:val="ConsPlusNormal"/>
              <w:jc w:val="center"/>
            </w:pPr>
            <w:r>
              <w:t>154468</w:t>
            </w:r>
          </w:p>
        </w:tc>
        <w:tc>
          <w:tcPr>
            <w:tcW w:w="964" w:type="dxa"/>
            <w:vAlign w:val="center"/>
          </w:tcPr>
          <w:p w:rsidR="00664FCE" w:rsidRDefault="00664FCE">
            <w:pPr>
              <w:pStyle w:val="ConsPlusNormal"/>
              <w:jc w:val="center"/>
            </w:pPr>
            <w:r>
              <w:t>136700</w:t>
            </w:r>
          </w:p>
        </w:tc>
        <w:tc>
          <w:tcPr>
            <w:tcW w:w="964" w:type="dxa"/>
            <w:vAlign w:val="center"/>
          </w:tcPr>
          <w:p w:rsidR="00664FCE" w:rsidRDefault="00664FCE">
            <w:pPr>
              <w:pStyle w:val="ConsPlusNormal"/>
              <w:jc w:val="center"/>
            </w:pPr>
            <w:r>
              <w:t>159937</w:t>
            </w:r>
          </w:p>
        </w:tc>
        <w:tc>
          <w:tcPr>
            <w:tcW w:w="844" w:type="dxa"/>
            <w:vAlign w:val="center"/>
          </w:tcPr>
          <w:p w:rsidR="00664FCE" w:rsidRDefault="00664FCE">
            <w:pPr>
              <w:pStyle w:val="ConsPlusNormal"/>
              <w:jc w:val="center"/>
            </w:pPr>
            <w:r>
              <w:t>17079</w:t>
            </w:r>
          </w:p>
        </w:tc>
        <w:tc>
          <w:tcPr>
            <w:tcW w:w="724" w:type="dxa"/>
            <w:vAlign w:val="center"/>
          </w:tcPr>
          <w:p w:rsidR="00664FCE" w:rsidRDefault="00664FCE">
            <w:pPr>
              <w:pStyle w:val="ConsPlusNormal"/>
              <w:jc w:val="center"/>
            </w:pPr>
            <w:r>
              <w:t>10902</w:t>
            </w:r>
          </w:p>
        </w:tc>
        <w:tc>
          <w:tcPr>
            <w:tcW w:w="724" w:type="dxa"/>
            <w:vAlign w:val="center"/>
          </w:tcPr>
          <w:p w:rsidR="00664FCE" w:rsidRDefault="00664FCE">
            <w:pPr>
              <w:pStyle w:val="ConsPlusNormal"/>
              <w:jc w:val="center"/>
            </w:pPr>
            <w:r>
              <w:t>22063</w:t>
            </w:r>
          </w:p>
        </w:tc>
        <w:tc>
          <w:tcPr>
            <w:tcW w:w="1204" w:type="dxa"/>
            <w:vAlign w:val="center"/>
          </w:tcPr>
          <w:p w:rsidR="00664FCE" w:rsidRDefault="00664FCE">
            <w:pPr>
              <w:pStyle w:val="ConsPlusNormal"/>
              <w:jc w:val="center"/>
            </w:pPr>
            <w:r>
              <w:t>155660</w:t>
            </w:r>
          </w:p>
        </w:tc>
        <w:tc>
          <w:tcPr>
            <w:tcW w:w="1204" w:type="dxa"/>
            <w:vAlign w:val="center"/>
          </w:tcPr>
          <w:p w:rsidR="00664FCE" w:rsidRDefault="00664FCE">
            <w:pPr>
              <w:pStyle w:val="ConsPlusNormal"/>
              <w:jc w:val="center"/>
            </w:pPr>
            <w:r>
              <w:t>171489</w:t>
            </w:r>
          </w:p>
        </w:tc>
        <w:tc>
          <w:tcPr>
            <w:tcW w:w="1204" w:type="dxa"/>
            <w:vAlign w:val="center"/>
          </w:tcPr>
          <w:p w:rsidR="00664FCE" w:rsidRDefault="00664FCE">
            <w:pPr>
              <w:pStyle w:val="ConsPlusNormal"/>
              <w:jc w:val="center"/>
            </w:pPr>
            <w:r>
              <w:t>40712</w:t>
            </w:r>
          </w:p>
        </w:tc>
        <w:tc>
          <w:tcPr>
            <w:tcW w:w="1204" w:type="dxa"/>
            <w:vAlign w:val="center"/>
          </w:tcPr>
          <w:p w:rsidR="00664FCE" w:rsidRDefault="00664FCE">
            <w:pPr>
              <w:pStyle w:val="ConsPlusNormal"/>
              <w:jc w:val="center"/>
            </w:pPr>
            <w:r>
              <w:t>43770</w:t>
            </w:r>
          </w:p>
        </w:tc>
      </w:tr>
      <w:tr w:rsidR="00664FCE">
        <w:tc>
          <w:tcPr>
            <w:tcW w:w="340" w:type="dxa"/>
            <w:vAlign w:val="center"/>
          </w:tcPr>
          <w:p w:rsidR="00664FCE" w:rsidRDefault="00664FCE">
            <w:pPr>
              <w:pStyle w:val="ConsPlusNormal"/>
              <w:jc w:val="both"/>
            </w:pPr>
            <w:r>
              <w:t>3</w:t>
            </w:r>
          </w:p>
        </w:tc>
        <w:tc>
          <w:tcPr>
            <w:tcW w:w="2584" w:type="dxa"/>
            <w:vAlign w:val="center"/>
          </w:tcPr>
          <w:p w:rsidR="00664FCE" w:rsidRDefault="00664FCE">
            <w:pPr>
              <w:pStyle w:val="ConsPlusNormal"/>
              <w:jc w:val="both"/>
            </w:pPr>
            <w:r>
              <w:t>ОГУП "Областной аптечный склад"</w:t>
            </w:r>
          </w:p>
        </w:tc>
        <w:tc>
          <w:tcPr>
            <w:tcW w:w="964" w:type="dxa"/>
            <w:vAlign w:val="center"/>
          </w:tcPr>
          <w:p w:rsidR="00664FCE" w:rsidRDefault="00664FCE">
            <w:pPr>
              <w:pStyle w:val="ConsPlusNormal"/>
              <w:jc w:val="center"/>
            </w:pPr>
            <w:r>
              <w:t>564332</w:t>
            </w:r>
          </w:p>
        </w:tc>
        <w:tc>
          <w:tcPr>
            <w:tcW w:w="964" w:type="dxa"/>
            <w:vAlign w:val="center"/>
          </w:tcPr>
          <w:p w:rsidR="00664FCE" w:rsidRDefault="00664FCE">
            <w:pPr>
              <w:pStyle w:val="ConsPlusNormal"/>
              <w:jc w:val="center"/>
            </w:pPr>
            <w:r>
              <w:t>549925</w:t>
            </w:r>
          </w:p>
        </w:tc>
        <w:tc>
          <w:tcPr>
            <w:tcW w:w="964" w:type="dxa"/>
            <w:vAlign w:val="center"/>
          </w:tcPr>
          <w:p w:rsidR="00664FCE" w:rsidRDefault="00664FCE">
            <w:pPr>
              <w:pStyle w:val="ConsPlusNormal"/>
              <w:jc w:val="center"/>
            </w:pPr>
            <w:r>
              <w:t>566163</w:t>
            </w:r>
          </w:p>
        </w:tc>
        <w:tc>
          <w:tcPr>
            <w:tcW w:w="844" w:type="dxa"/>
            <w:vAlign w:val="center"/>
          </w:tcPr>
          <w:p w:rsidR="00664FCE" w:rsidRDefault="00664FCE">
            <w:pPr>
              <w:pStyle w:val="ConsPlusNormal"/>
              <w:jc w:val="center"/>
            </w:pPr>
            <w:r>
              <w:t>8610</w:t>
            </w:r>
          </w:p>
        </w:tc>
        <w:tc>
          <w:tcPr>
            <w:tcW w:w="724" w:type="dxa"/>
            <w:vAlign w:val="center"/>
          </w:tcPr>
          <w:p w:rsidR="00664FCE" w:rsidRDefault="00664FCE">
            <w:pPr>
              <w:pStyle w:val="ConsPlusNormal"/>
              <w:jc w:val="center"/>
            </w:pPr>
            <w:r>
              <w:t>2306</w:t>
            </w:r>
          </w:p>
        </w:tc>
        <w:tc>
          <w:tcPr>
            <w:tcW w:w="724" w:type="dxa"/>
            <w:vAlign w:val="center"/>
          </w:tcPr>
          <w:p w:rsidR="00664FCE" w:rsidRDefault="00664FCE">
            <w:pPr>
              <w:pStyle w:val="ConsPlusNormal"/>
              <w:jc w:val="center"/>
            </w:pPr>
            <w:r>
              <w:t>5556</w:t>
            </w:r>
          </w:p>
        </w:tc>
        <w:tc>
          <w:tcPr>
            <w:tcW w:w="1204" w:type="dxa"/>
            <w:vAlign w:val="center"/>
          </w:tcPr>
          <w:p w:rsidR="00664FCE" w:rsidRDefault="00664FCE">
            <w:pPr>
              <w:pStyle w:val="ConsPlusNormal"/>
              <w:jc w:val="center"/>
            </w:pPr>
            <w:r>
              <w:t>39549</w:t>
            </w:r>
          </w:p>
        </w:tc>
        <w:tc>
          <w:tcPr>
            <w:tcW w:w="1204" w:type="dxa"/>
            <w:vAlign w:val="center"/>
          </w:tcPr>
          <w:p w:rsidR="00664FCE" w:rsidRDefault="00664FCE">
            <w:pPr>
              <w:pStyle w:val="ConsPlusNormal"/>
              <w:jc w:val="center"/>
            </w:pPr>
            <w:r>
              <w:t>39396</w:t>
            </w:r>
          </w:p>
        </w:tc>
        <w:tc>
          <w:tcPr>
            <w:tcW w:w="1204" w:type="dxa"/>
            <w:vAlign w:val="center"/>
          </w:tcPr>
          <w:p w:rsidR="00664FCE" w:rsidRDefault="00664FCE">
            <w:pPr>
              <w:pStyle w:val="ConsPlusNormal"/>
              <w:jc w:val="center"/>
            </w:pPr>
            <w:r>
              <w:t>25202</w:t>
            </w:r>
          </w:p>
        </w:tc>
        <w:tc>
          <w:tcPr>
            <w:tcW w:w="1204" w:type="dxa"/>
            <w:vAlign w:val="center"/>
          </w:tcPr>
          <w:p w:rsidR="00664FCE" w:rsidRDefault="00664FCE">
            <w:pPr>
              <w:pStyle w:val="ConsPlusNormal"/>
              <w:jc w:val="center"/>
            </w:pPr>
            <w:r>
              <w:t>23682</w:t>
            </w:r>
          </w:p>
        </w:tc>
      </w:tr>
      <w:tr w:rsidR="00664FCE">
        <w:tc>
          <w:tcPr>
            <w:tcW w:w="340" w:type="dxa"/>
            <w:vAlign w:val="center"/>
          </w:tcPr>
          <w:p w:rsidR="00664FCE" w:rsidRDefault="00664FCE">
            <w:pPr>
              <w:pStyle w:val="ConsPlusNormal"/>
              <w:jc w:val="both"/>
            </w:pPr>
            <w:r>
              <w:t>4</w:t>
            </w:r>
          </w:p>
        </w:tc>
        <w:tc>
          <w:tcPr>
            <w:tcW w:w="2584" w:type="dxa"/>
            <w:vAlign w:val="center"/>
          </w:tcPr>
          <w:p w:rsidR="00664FCE" w:rsidRDefault="00664FCE">
            <w:pPr>
              <w:pStyle w:val="ConsPlusNormal"/>
              <w:jc w:val="both"/>
            </w:pPr>
            <w:r>
              <w:t>ОГУП "Бакчарское"</w:t>
            </w:r>
          </w:p>
        </w:tc>
        <w:tc>
          <w:tcPr>
            <w:tcW w:w="964" w:type="dxa"/>
            <w:vAlign w:val="center"/>
          </w:tcPr>
          <w:p w:rsidR="00664FCE" w:rsidRDefault="00664FCE">
            <w:pPr>
              <w:pStyle w:val="ConsPlusNormal"/>
              <w:jc w:val="center"/>
            </w:pPr>
            <w:r>
              <w:t>28948</w:t>
            </w:r>
          </w:p>
        </w:tc>
        <w:tc>
          <w:tcPr>
            <w:tcW w:w="964" w:type="dxa"/>
            <w:vAlign w:val="center"/>
          </w:tcPr>
          <w:p w:rsidR="00664FCE" w:rsidRDefault="00664FCE">
            <w:pPr>
              <w:pStyle w:val="ConsPlusNormal"/>
              <w:jc w:val="center"/>
            </w:pPr>
            <w:r>
              <w:t>34838</w:t>
            </w:r>
          </w:p>
        </w:tc>
        <w:tc>
          <w:tcPr>
            <w:tcW w:w="964" w:type="dxa"/>
            <w:vAlign w:val="center"/>
          </w:tcPr>
          <w:p w:rsidR="00664FCE" w:rsidRDefault="00664FCE">
            <w:pPr>
              <w:pStyle w:val="ConsPlusNormal"/>
              <w:jc w:val="center"/>
            </w:pPr>
            <w:r>
              <w:t>36319</w:t>
            </w:r>
          </w:p>
        </w:tc>
        <w:tc>
          <w:tcPr>
            <w:tcW w:w="844" w:type="dxa"/>
            <w:vAlign w:val="center"/>
          </w:tcPr>
          <w:p w:rsidR="00664FCE" w:rsidRDefault="00664FCE">
            <w:pPr>
              <w:pStyle w:val="ConsPlusNormal"/>
              <w:jc w:val="center"/>
            </w:pPr>
            <w:r>
              <w:t>6487</w:t>
            </w:r>
          </w:p>
        </w:tc>
        <w:tc>
          <w:tcPr>
            <w:tcW w:w="724" w:type="dxa"/>
            <w:vAlign w:val="center"/>
          </w:tcPr>
          <w:p w:rsidR="00664FCE" w:rsidRDefault="00664FCE">
            <w:pPr>
              <w:pStyle w:val="ConsPlusNormal"/>
              <w:jc w:val="center"/>
            </w:pPr>
            <w:r>
              <w:t>7559</w:t>
            </w:r>
          </w:p>
        </w:tc>
        <w:tc>
          <w:tcPr>
            <w:tcW w:w="724" w:type="dxa"/>
            <w:vAlign w:val="center"/>
          </w:tcPr>
          <w:p w:rsidR="00664FCE" w:rsidRDefault="00664FCE">
            <w:pPr>
              <w:pStyle w:val="ConsPlusNormal"/>
              <w:jc w:val="center"/>
            </w:pPr>
            <w:r>
              <w:t>8039</w:t>
            </w:r>
          </w:p>
        </w:tc>
        <w:tc>
          <w:tcPr>
            <w:tcW w:w="1204" w:type="dxa"/>
            <w:vAlign w:val="center"/>
          </w:tcPr>
          <w:p w:rsidR="00664FCE" w:rsidRDefault="00664FCE">
            <w:pPr>
              <w:pStyle w:val="ConsPlusNormal"/>
              <w:jc w:val="center"/>
            </w:pPr>
            <w:r>
              <w:t>22410</w:t>
            </w:r>
          </w:p>
        </w:tc>
        <w:tc>
          <w:tcPr>
            <w:tcW w:w="1204" w:type="dxa"/>
            <w:vAlign w:val="center"/>
          </w:tcPr>
          <w:p w:rsidR="00664FCE" w:rsidRDefault="00664FCE">
            <w:pPr>
              <w:pStyle w:val="ConsPlusNormal"/>
              <w:jc w:val="center"/>
            </w:pPr>
            <w:r>
              <w:t>36711</w:t>
            </w:r>
          </w:p>
        </w:tc>
        <w:tc>
          <w:tcPr>
            <w:tcW w:w="1204" w:type="dxa"/>
            <w:vAlign w:val="center"/>
          </w:tcPr>
          <w:p w:rsidR="00664FCE" w:rsidRDefault="00664FCE">
            <w:pPr>
              <w:pStyle w:val="ConsPlusNormal"/>
              <w:jc w:val="center"/>
            </w:pPr>
            <w:r>
              <w:t>9654</w:t>
            </w:r>
          </w:p>
        </w:tc>
        <w:tc>
          <w:tcPr>
            <w:tcW w:w="1204" w:type="dxa"/>
            <w:vAlign w:val="center"/>
          </w:tcPr>
          <w:p w:rsidR="00664FCE" w:rsidRDefault="00664FCE">
            <w:pPr>
              <w:pStyle w:val="ConsPlusNormal"/>
              <w:jc w:val="center"/>
            </w:pPr>
            <w:r>
              <w:t>21260</w:t>
            </w:r>
          </w:p>
        </w:tc>
      </w:tr>
      <w:tr w:rsidR="00664FCE">
        <w:tc>
          <w:tcPr>
            <w:tcW w:w="2924" w:type="dxa"/>
            <w:gridSpan w:val="2"/>
            <w:vAlign w:val="center"/>
          </w:tcPr>
          <w:p w:rsidR="00664FCE" w:rsidRDefault="00664FCE">
            <w:pPr>
              <w:pStyle w:val="ConsPlusNormal"/>
              <w:jc w:val="both"/>
            </w:pPr>
            <w:r>
              <w:t>ИТОГО по действующим предприятиям:</w:t>
            </w:r>
          </w:p>
        </w:tc>
        <w:tc>
          <w:tcPr>
            <w:tcW w:w="964" w:type="dxa"/>
            <w:vAlign w:val="center"/>
          </w:tcPr>
          <w:p w:rsidR="00664FCE" w:rsidRDefault="00664FCE">
            <w:pPr>
              <w:pStyle w:val="ConsPlusNormal"/>
              <w:jc w:val="center"/>
            </w:pPr>
            <w:r>
              <w:t>4183937</w:t>
            </w:r>
          </w:p>
        </w:tc>
        <w:tc>
          <w:tcPr>
            <w:tcW w:w="964" w:type="dxa"/>
            <w:vAlign w:val="center"/>
          </w:tcPr>
          <w:p w:rsidR="00664FCE" w:rsidRDefault="00664FCE">
            <w:pPr>
              <w:pStyle w:val="ConsPlusNormal"/>
              <w:jc w:val="center"/>
            </w:pPr>
            <w:r>
              <w:t>3646864</w:t>
            </w:r>
          </w:p>
        </w:tc>
        <w:tc>
          <w:tcPr>
            <w:tcW w:w="964" w:type="dxa"/>
            <w:vAlign w:val="center"/>
          </w:tcPr>
          <w:p w:rsidR="00664FCE" w:rsidRDefault="00664FCE">
            <w:pPr>
              <w:pStyle w:val="ConsPlusNormal"/>
              <w:jc w:val="center"/>
            </w:pPr>
            <w:r>
              <w:t>4488562</w:t>
            </w:r>
          </w:p>
        </w:tc>
        <w:tc>
          <w:tcPr>
            <w:tcW w:w="844" w:type="dxa"/>
            <w:vAlign w:val="center"/>
          </w:tcPr>
          <w:p w:rsidR="00664FCE" w:rsidRDefault="00664FCE">
            <w:pPr>
              <w:pStyle w:val="ConsPlusNormal"/>
              <w:jc w:val="center"/>
            </w:pPr>
            <w:r>
              <w:t>101538</w:t>
            </w:r>
          </w:p>
        </w:tc>
        <w:tc>
          <w:tcPr>
            <w:tcW w:w="724" w:type="dxa"/>
            <w:vAlign w:val="center"/>
          </w:tcPr>
          <w:p w:rsidR="00664FCE" w:rsidRDefault="00664FCE">
            <w:pPr>
              <w:pStyle w:val="ConsPlusNormal"/>
              <w:jc w:val="center"/>
            </w:pPr>
            <w:r>
              <w:t>67112</w:t>
            </w:r>
          </w:p>
        </w:tc>
        <w:tc>
          <w:tcPr>
            <w:tcW w:w="724" w:type="dxa"/>
            <w:vAlign w:val="center"/>
          </w:tcPr>
          <w:p w:rsidR="00664FCE" w:rsidRDefault="00664FCE">
            <w:pPr>
              <w:pStyle w:val="ConsPlusNormal"/>
              <w:jc w:val="center"/>
            </w:pPr>
            <w:r>
              <w:t>48346</w:t>
            </w:r>
          </w:p>
        </w:tc>
        <w:tc>
          <w:tcPr>
            <w:tcW w:w="1204" w:type="dxa"/>
            <w:vAlign w:val="center"/>
          </w:tcPr>
          <w:p w:rsidR="00664FCE" w:rsidRDefault="00664FCE">
            <w:pPr>
              <w:pStyle w:val="ConsPlusNormal"/>
              <w:jc w:val="center"/>
            </w:pPr>
            <w:r>
              <w:t>1817544</w:t>
            </w:r>
          </w:p>
        </w:tc>
        <w:tc>
          <w:tcPr>
            <w:tcW w:w="1204" w:type="dxa"/>
            <w:vAlign w:val="center"/>
          </w:tcPr>
          <w:p w:rsidR="00664FCE" w:rsidRDefault="00664FCE">
            <w:pPr>
              <w:pStyle w:val="ConsPlusNormal"/>
              <w:jc w:val="center"/>
            </w:pPr>
            <w:r>
              <w:t>2107783</w:t>
            </w:r>
          </w:p>
        </w:tc>
        <w:tc>
          <w:tcPr>
            <w:tcW w:w="1204" w:type="dxa"/>
            <w:vAlign w:val="center"/>
          </w:tcPr>
          <w:p w:rsidR="00664FCE" w:rsidRDefault="00664FCE">
            <w:pPr>
              <w:pStyle w:val="ConsPlusNormal"/>
              <w:jc w:val="center"/>
            </w:pPr>
            <w:r>
              <w:t>714717</w:t>
            </w:r>
          </w:p>
        </w:tc>
        <w:tc>
          <w:tcPr>
            <w:tcW w:w="1204" w:type="dxa"/>
            <w:vAlign w:val="center"/>
          </w:tcPr>
          <w:p w:rsidR="00664FCE" w:rsidRDefault="00664FCE">
            <w:pPr>
              <w:pStyle w:val="ConsPlusNormal"/>
              <w:jc w:val="center"/>
            </w:pPr>
            <w:r>
              <w:t>899528</w:t>
            </w:r>
          </w:p>
        </w:tc>
      </w:tr>
      <w:tr w:rsidR="00664FCE">
        <w:tc>
          <w:tcPr>
            <w:tcW w:w="340" w:type="dxa"/>
            <w:vAlign w:val="center"/>
          </w:tcPr>
          <w:p w:rsidR="00664FCE" w:rsidRDefault="00664FCE">
            <w:pPr>
              <w:pStyle w:val="ConsPlusNormal"/>
              <w:jc w:val="both"/>
            </w:pPr>
            <w:r>
              <w:t>5</w:t>
            </w:r>
          </w:p>
        </w:tc>
        <w:tc>
          <w:tcPr>
            <w:tcW w:w="2584" w:type="dxa"/>
            <w:vAlign w:val="center"/>
          </w:tcPr>
          <w:p w:rsidR="00664FCE" w:rsidRDefault="00664FCE">
            <w:pPr>
              <w:pStyle w:val="ConsPlusNormal"/>
              <w:jc w:val="both"/>
            </w:pPr>
            <w:r>
              <w:t>ОГУП "Первомайское ДРСУ"</w:t>
            </w:r>
          </w:p>
        </w:tc>
        <w:tc>
          <w:tcPr>
            <w:tcW w:w="10000" w:type="dxa"/>
            <w:gridSpan w:val="10"/>
            <w:vAlign w:val="center"/>
          </w:tcPr>
          <w:p w:rsidR="00664FCE" w:rsidRDefault="00664FCE">
            <w:pPr>
              <w:pStyle w:val="ConsPlusNormal"/>
              <w:jc w:val="both"/>
            </w:pPr>
            <w:r>
              <w:t>В марте 2022 года в отношении ОГУП "Первомайское ДРСУ" завершена процедура банкротства,</w:t>
            </w:r>
          </w:p>
          <w:p w:rsidR="00664FCE" w:rsidRDefault="00664FCE">
            <w:pPr>
              <w:pStyle w:val="ConsPlusNormal"/>
              <w:jc w:val="both"/>
            </w:pPr>
            <w:r>
              <w:t>в 2021 году предприятие не осуществляло хозяйственную деятельность</w:t>
            </w:r>
          </w:p>
        </w:tc>
      </w:tr>
    </w:tbl>
    <w:p w:rsidR="00664FCE" w:rsidRDefault="00664FCE">
      <w:pPr>
        <w:pStyle w:val="ConsPlusNormal"/>
        <w:sectPr w:rsidR="00664FCE">
          <w:pgSz w:w="16838" w:h="11905" w:orient="landscape"/>
          <w:pgMar w:top="1701" w:right="1134" w:bottom="850" w:left="1134" w:header="0" w:footer="0" w:gutter="0"/>
          <w:cols w:space="720"/>
          <w:titlePg/>
        </w:sectPr>
      </w:pPr>
    </w:p>
    <w:p w:rsidR="00664FCE" w:rsidRDefault="00664FCE">
      <w:pPr>
        <w:pStyle w:val="ConsPlusNormal"/>
        <w:jc w:val="both"/>
      </w:pPr>
    </w:p>
    <w:p w:rsidR="00664FCE" w:rsidRDefault="00664FCE">
      <w:pPr>
        <w:pStyle w:val="ConsPlusNormal"/>
        <w:jc w:val="both"/>
      </w:pPr>
    </w:p>
    <w:p w:rsidR="00664FCE" w:rsidRDefault="00664FCE">
      <w:pPr>
        <w:pStyle w:val="ConsPlusNormal"/>
        <w:jc w:val="both"/>
      </w:pPr>
    </w:p>
    <w:p w:rsidR="00664FCE" w:rsidRDefault="00664FCE">
      <w:pPr>
        <w:pStyle w:val="ConsPlusNormal"/>
        <w:jc w:val="both"/>
      </w:pPr>
    </w:p>
    <w:p w:rsidR="00664FCE" w:rsidRDefault="00664FCE">
      <w:pPr>
        <w:pStyle w:val="ConsPlusNormal"/>
        <w:jc w:val="both"/>
      </w:pPr>
    </w:p>
    <w:p w:rsidR="00664FCE" w:rsidRDefault="00664FCE">
      <w:pPr>
        <w:pStyle w:val="ConsPlusNormal"/>
        <w:jc w:val="right"/>
        <w:outlineLvl w:val="1"/>
      </w:pPr>
      <w:r>
        <w:t>Приложение 3</w:t>
      </w:r>
    </w:p>
    <w:p w:rsidR="00664FCE" w:rsidRDefault="00664FCE">
      <w:pPr>
        <w:pStyle w:val="ConsPlusNormal"/>
        <w:jc w:val="right"/>
      </w:pPr>
      <w:r>
        <w:t>к отчету</w:t>
      </w:r>
    </w:p>
    <w:p w:rsidR="00664FCE" w:rsidRDefault="00664FCE">
      <w:pPr>
        <w:pStyle w:val="ConsPlusNormal"/>
        <w:jc w:val="right"/>
      </w:pPr>
      <w:r>
        <w:t>о деятельности областных государственных</w:t>
      </w:r>
    </w:p>
    <w:p w:rsidR="00664FCE" w:rsidRDefault="00664FCE">
      <w:pPr>
        <w:pStyle w:val="ConsPlusNormal"/>
        <w:jc w:val="right"/>
      </w:pPr>
      <w:r>
        <w:t>унитарных предприятий за 2021 год</w:t>
      </w:r>
    </w:p>
    <w:p w:rsidR="00664FCE" w:rsidRDefault="00664FCE">
      <w:pPr>
        <w:pStyle w:val="ConsPlusNormal"/>
        <w:jc w:val="both"/>
      </w:pPr>
    </w:p>
    <w:p w:rsidR="00664FCE" w:rsidRDefault="00664FCE">
      <w:pPr>
        <w:pStyle w:val="ConsPlusTitle"/>
        <w:jc w:val="center"/>
      </w:pPr>
      <w:bookmarkStart w:id="3" w:name="P347"/>
      <w:bookmarkEnd w:id="3"/>
      <w:r>
        <w:t>СВЕДЕНИЯ</w:t>
      </w:r>
    </w:p>
    <w:p w:rsidR="00664FCE" w:rsidRDefault="00664FCE">
      <w:pPr>
        <w:pStyle w:val="ConsPlusTitle"/>
        <w:jc w:val="center"/>
      </w:pPr>
      <w:r>
        <w:t>О СРЕДНЕСПИСОЧНОЙ ЧИСЛЕННОСТИ И СРЕДНЕМЕСЯЧНОЙ ЗАРАБОТНОЙ</w:t>
      </w:r>
    </w:p>
    <w:p w:rsidR="00664FCE" w:rsidRDefault="00664FCE">
      <w:pPr>
        <w:pStyle w:val="ConsPlusTitle"/>
        <w:jc w:val="center"/>
      </w:pPr>
      <w:r>
        <w:t>ПЛАТЕ ОБЛАСТНЫХ ГОСУДАРСТВЕННЫХ УНИТАРНЫХ ПРЕДПРИЯТИЙ</w:t>
      </w:r>
    </w:p>
    <w:p w:rsidR="00664FCE" w:rsidRDefault="00664FC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3628"/>
        <w:gridCol w:w="970"/>
        <w:gridCol w:w="970"/>
        <w:gridCol w:w="724"/>
        <w:gridCol w:w="724"/>
        <w:gridCol w:w="844"/>
        <w:gridCol w:w="844"/>
      </w:tblGrid>
      <w:tr w:rsidR="00664FCE">
        <w:tc>
          <w:tcPr>
            <w:tcW w:w="340" w:type="dxa"/>
            <w:vMerge w:val="restart"/>
          </w:tcPr>
          <w:p w:rsidR="00664FCE" w:rsidRDefault="00664FCE">
            <w:pPr>
              <w:pStyle w:val="ConsPlusNormal"/>
              <w:jc w:val="center"/>
            </w:pPr>
            <w:r>
              <w:t>N</w:t>
            </w:r>
          </w:p>
        </w:tc>
        <w:tc>
          <w:tcPr>
            <w:tcW w:w="3628" w:type="dxa"/>
            <w:vMerge w:val="restart"/>
          </w:tcPr>
          <w:p w:rsidR="00664FCE" w:rsidRDefault="00664FCE">
            <w:pPr>
              <w:pStyle w:val="ConsPlusNormal"/>
              <w:jc w:val="center"/>
            </w:pPr>
            <w:r>
              <w:t>Наименование предприятия</w:t>
            </w:r>
          </w:p>
        </w:tc>
        <w:tc>
          <w:tcPr>
            <w:tcW w:w="1940" w:type="dxa"/>
            <w:gridSpan w:val="2"/>
            <w:vMerge w:val="restart"/>
          </w:tcPr>
          <w:p w:rsidR="00664FCE" w:rsidRDefault="00664FCE">
            <w:pPr>
              <w:pStyle w:val="ConsPlusNormal"/>
              <w:jc w:val="center"/>
            </w:pPr>
            <w:r>
              <w:t>Среднесписочная численность, чел.</w:t>
            </w:r>
          </w:p>
        </w:tc>
        <w:tc>
          <w:tcPr>
            <w:tcW w:w="3136" w:type="dxa"/>
            <w:gridSpan w:val="4"/>
          </w:tcPr>
          <w:p w:rsidR="00664FCE" w:rsidRDefault="00664FCE">
            <w:pPr>
              <w:pStyle w:val="ConsPlusNormal"/>
              <w:jc w:val="center"/>
            </w:pPr>
            <w:r>
              <w:t>Среднемесячная заработная плата, руб.</w:t>
            </w:r>
          </w:p>
        </w:tc>
      </w:tr>
      <w:tr w:rsidR="00664FCE">
        <w:tc>
          <w:tcPr>
            <w:tcW w:w="340" w:type="dxa"/>
            <w:vMerge/>
          </w:tcPr>
          <w:p w:rsidR="00664FCE" w:rsidRDefault="00664FCE">
            <w:pPr>
              <w:pStyle w:val="ConsPlusNormal"/>
            </w:pPr>
          </w:p>
        </w:tc>
        <w:tc>
          <w:tcPr>
            <w:tcW w:w="3628" w:type="dxa"/>
            <w:vMerge/>
          </w:tcPr>
          <w:p w:rsidR="00664FCE" w:rsidRDefault="00664FCE">
            <w:pPr>
              <w:pStyle w:val="ConsPlusNormal"/>
            </w:pPr>
          </w:p>
        </w:tc>
        <w:tc>
          <w:tcPr>
            <w:tcW w:w="1940" w:type="dxa"/>
            <w:gridSpan w:val="2"/>
            <w:vMerge/>
          </w:tcPr>
          <w:p w:rsidR="00664FCE" w:rsidRDefault="00664FCE">
            <w:pPr>
              <w:pStyle w:val="ConsPlusNormal"/>
            </w:pPr>
          </w:p>
        </w:tc>
        <w:tc>
          <w:tcPr>
            <w:tcW w:w="1448" w:type="dxa"/>
            <w:gridSpan w:val="2"/>
          </w:tcPr>
          <w:p w:rsidR="00664FCE" w:rsidRDefault="00664FCE">
            <w:pPr>
              <w:pStyle w:val="ConsPlusNormal"/>
              <w:jc w:val="center"/>
            </w:pPr>
            <w:r>
              <w:t>Работников</w:t>
            </w:r>
          </w:p>
        </w:tc>
        <w:tc>
          <w:tcPr>
            <w:tcW w:w="1688" w:type="dxa"/>
            <w:gridSpan w:val="2"/>
          </w:tcPr>
          <w:p w:rsidR="00664FCE" w:rsidRDefault="00664FCE">
            <w:pPr>
              <w:pStyle w:val="ConsPlusNormal"/>
              <w:jc w:val="center"/>
            </w:pPr>
            <w:r>
              <w:t>Руководителя</w:t>
            </w:r>
          </w:p>
        </w:tc>
      </w:tr>
      <w:tr w:rsidR="00664FCE">
        <w:tc>
          <w:tcPr>
            <w:tcW w:w="340" w:type="dxa"/>
            <w:vMerge/>
          </w:tcPr>
          <w:p w:rsidR="00664FCE" w:rsidRDefault="00664FCE">
            <w:pPr>
              <w:pStyle w:val="ConsPlusNormal"/>
            </w:pPr>
          </w:p>
        </w:tc>
        <w:tc>
          <w:tcPr>
            <w:tcW w:w="3628" w:type="dxa"/>
            <w:vMerge/>
          </w:tcPr>
          <w:p w:rsidR="00664FCE" w:rsidRDefault="00664FCE">
            <w:pPr>
              <w:pStyle w:val="ConsPlusNormal"/>
            </w:pPr>
          </w:p>
        </w:tc>
        <w:tc>
          <w:tcPr>
            <w:tcW w:w="970" w:type="dxa"/>
          </w:tcPr>
          <w:p w:rsidR="00664FCE" w:rsidRDefault="00664FCE">
            <w:pPr>
              <w:pStyle w:val="ConsPlusNormal"/>
              <w:jc w:val="center"/>
            </w:pPr>
            <w:r>
              <w:t>2020 год</w:t>
            </w:r>
          </w:p>
        </w:tc>
        <w:tc>
          <w:tcPr>
            <w:tcW w:w="970" w:type="dxa"/>
          </w:tcPr>
          <w:p w:rsidR="00664FCE" w:rsidRDefault="00664FCE">
            <w:pPr>
              <w:pStyle w:val="ConsPlusNormal"/>
              <w:jc w:val="center"/>
            </w:pPr>
            <w:r>
              <w:t>2021 год</w:t>
            </w:r>
          </w:p>
        </w:tc>
        <w:tc>
          <w:tcPr>
            <w:tcW w:w="724" w:type="dxa"/>
          </w:tcPr>
          <w:p w:rsidR="00664FCE" w:rsidRDefault="00664FCE">
            <w:pPr>
              <w:pStyle w:val="ConsPlusNormal"/>
              <w:jc w:val="center"/>
            </w:pPr>
            <w:r>
              <w:t>2020 год</w:t>
            </w:r>
          </w:p>
        </w:tc>
        <w:tc>
          <w:tcPr>
            <w:tcW w:w="724" w:type="dxa"/>
          </w:tcPr>
          <w:p w:rsidR="00664FCE" w:rsidRDefault="00664FCE">
            <w:pPr>
              <w:pStyle w:val="ConsPlusNormal"/>
              <w:jc w:val="center"/>
            </w:pPr>
            <w:r>
              <w:t>2021 год</w:t>
            </w:r>
          </w:p>
        </w:tc>
        <w:tc>
          <w:tcPr>
            <w:tcW w:w="844" w:type="dxa"/>
          </w:tcPr>
          <w:p w:rsidR="00664FCE" w:rsidRDefault="00664FCE">
            <w:pPr>
              <w:pStyle w:val="ConsPlusNormal"/>
              <w:jc w:val="center"/>
            </w:pPr>
            <w:r>
              <w:t>2020 год</w:t>
            </w:r>
          </w:p>
        </w:tc>
        <w:tc>
          <w:tcPr>
            <w:tcW w:w="844" w:type="dxa"/>
          </w:tcPr>
          <w:p w:rsidR="00664FCE" w:rsidRDefault="00664FCE">
            <w:pPr>
              <w:pStyle w:val="ConsPlusNormal"/>
              <w:jc w:val="center"/>
            </w:pPr>
            <w:r>
              <w:t>2021 год</w:t>
            </w:r>
          </w:p>
        </w:tc>
      </w:tr>
      <w:tr w:rsidR="00664FCE">
        <w:tc>
          <w:tcPr>
            <w:tcW w:w="340" w:type="dxa"/>
          </w:tcPr>
          <w:p w:rsidR="00664FCE" w:rsidRDefault="00664FCE">
            <w:pPr>
              <w:pStyle w:val="ConsPlusNormal"/>
              <w:jc w:val="both"/>
            </w:pPr>
            <w:r>
              <w:t>1</w:t>
            </w:r>
          </w:p>
        </w:tc>
        <w:tc>
          <w:tcPr>
            <w:tcW w:w="3628" w:type="dxa"/>
          </w:tcPr>
          <w:p w:rsidR="00664FCE" w:rsidRDefault="00664FCE">
            <w:pPr>
              <w:pStyle w:val="ConsPlusNormal"/>
              <w:jc w:val="both"/>
            </w:pPr>
            <w:r>
              <w:t>ГУП ТО "Областное дорожное ремонтно-строительное управление"</w:t>
            </w:r>
          </w:p>
        </w:tc>
        <w:tc>
          <w:tcPr>
            <w:tcW w:w="970" w:type="dxa"/>
            <w:vAlign w:val="center"/>
          </w:tcPr>
          <w:p w:rsidR="00664FCE" w:rsidRDefault="00664FCE">
            <w:pPr>
              <w:pStyle w:val="ConsPlusNormal"/>
              <w:jc w:val="center"/>
            </w:pPr>
            <w:r>
              <w:t>1200</w:t>
            </w:r>
          </w:p>
        </w:tc>
        <w:tc>
          <w:tcPr>
            <w:tcW w:w="970" w:type="dxa"/>
            <w:vAlign w:val="center"/>
          </w:tcPr>
          <w:p w:rsidR="00664FCE" w:rsidRDefault="00664FCE">
            <w:pPr>
              <w:pStyle w:val="ConsPlusNormal"/>
              <w:jc w:val="center"/>
            </w:pPr>
            <w:r>
              <w:t>1219</w:t>
            </w:r>
          </w:p>
        </w:tc>
        <w:tc>
          <w:tcPr>
            <w:tcW w:w="724" w:type="dxa"/>
            <w:vAlign w:val="center"/>
          </w:tcPr>
          <w:p w:rsidR="00664FCE" w:rsidRDefault="00664FCE">
            <w:pPr>
              <w:pStyle w:val="ConsPlusNormal"/>
              <w:jc w:val="center"/>
            </w:pPr>
            <w:r>
              <w:t>39885</w:t>
            </w:r>
          </w:p>
        </w:tc>
        <w:tc>
          <w:tcPr>
            <w:tcW w:w="724" w:type="dxa"/>
            <w:vAlign w:val="center"/>
          </w:tcPr>
          <w:p w:rsidR="00664FCE" w:rsidRDefault="00664FCE">
            <w:pPr>
              <w:pStyle w:val="ConsPlusNormal"/>
              <w:jc w:val="center"/>
            </w:pPr>
            <w:r>
              <w:t>44254</w:t>
            </w:r>
          </w:p>
        </w:tc>
        <w:tc>
          <w:tcPr>
            <w:tcW w:w="844" w:type="dxa"/>
            <w:vAlign w:val="center"/>
          </w:tcPr>
          <w:p w:rsidR="00664FCE" w:rsidRDefault="00664FCE">
            <w:pPr>
              <w:pStyle w:val="ConsPlusNormal"/>
              <w:jc w:val="center"/>
            </w:pPr>
            <w:r>
              <w:t>241228</w:t>
            </w:r>
          </w:p>
        </w:tc>
        <w:tc>
          <w:tcPr>
            <w:tcW w:w="844" w:type="dxa"/>
            <w:vAlign w:val="center"/>
          </w:tcPr>
          <w:p w:rsidR="00664FCE" w:rsidRDefault="00664FCE">
            <w:pPr>
              <w:pStyle w:val="ConsPlusNormal"/>
              <w:jc w:val="center"/>
            </w:pPr>
            <w:r>
              <w:t>239111</w:t>
            </w:r>
          </w:p>
        </w:tc>
      </w:tr>
      <w:tr w:rsidR="00664FCE">
        <w:tc>
          <w:tcPr>
            <w:tcW w:w="340" w:type="dxa"/>
          </w:tcPr>
          <w:p w:rsidR="00664FCE" w:rsidRDefault="00664FCE">
            <w:pPr>
              <w:pStyle w:val="ConsPlusNormal"/>
              <w:jc w:val="both"/>
            </w:pPr>
            <w:r>
              <w:t>2</w:t>
            </w:r>
          </w:p>
        </w:tc>
        <w:tc>
          <w:tcPr>
            <w:tcW w:w="3628" w:type="dxa"/>
          </w:tcPr>
          <w:p w:rsidR="00664FCE" w:rsidRDefault="00664FCE">
            <w:pPr>
              <w:pStyle w:val="ConsPlusNormal"/>
              <w:jc w:val="both"/>
            </w:pPr>
            <w:r>
              <w:t>ОГУП "Кожевниковское дорожное ремонтно-строительное управление"</w:t>
            </w:r>
          </w:p>
        </w:tc>
        <w:tc>
          <w:tcPr>
            <w:tcW w:w="970" w:type="dxa"/>
            <w:vAlign w:val="center"/>
          </w:tcPr>
          <w:p w:rsidR="00664FCE" w:rsidRDefault="00664FCE">
            <w:pPr>
              <w:pStyle w:val="ConsPlusNormal"/>
              <w:jc w:val="center"/>
            </w:pPr>
            <w:r>
              <w:t>73</w:t>
            </w:r>
          </w:p>
        </w:tc>
        <w:tc>
          <w:tcPr>
            <w:tcW w:w="970" w:type="dxa"/>
            <w:vAlign w:val="center"/>
          </w:tcPr>
          <w:p w:rsidR="00664FCE" w:rsidRDefault="00664FCE">
            <w:pPr>
              <w:pStyle w:val="ConsPlusNormal"/>
              <w:jc w:val="center"/>
            </w:pPr>
            <w:r>
              <w:t>69</w:t>
            </w:r>
          </w:p>
        </w:tc>
        <w:tc>
          <w:tcPr>
            <w:tcW w:w="724" w:type="dxa"/>
            <w:vAlign w:val="center"/>
          </w:tcPr>
          <w:p w:rsidR="00664FCE" w:rsidRDefault="00664FCE">
            <w:pPr>
              <w:pStyle w:val="ConsPlusNormal"/>
              <w:jc w:val="center"/>
            </w:pPr>
            <w:r>
              <w:t>46978</w:t>
            </w:r>
          </w:p>
        </w:tc>
        <w:tc>
          <w:tcPr>
            <w:tcW w:w="724" w:type="dxa"/>
            <w:vAlign w:val="center"/>
          </w:tcPr>
          <w:p w:rsidR="00664FCE" w:rsidRDefault="00664FCE">
            <w:pPr>
              <w:pStyle w:val="ConsPlusNormal"/>
              <w:jc w:val="center"/>
            </w:pPr>
            <w:r>
              <w:t>53702</w:t>
            </w:r>
          </w:p>
        </w:tc>
        <w:tc>
          <w:tcPr>
            <w:tcW w:w="844" w:type="dxa"/>
            <w:vAlign w:val="center"/>
          </w:tcPr>
          <w:p w:rsidR="00664FCE" w:rsidRDefault="00664FCE">
            <w:pPr>
              <w:pStyle w:val="ConsPlusNormal"/>
              <w:jc w:val="center"/>
            </w:pPr>
            <w:r>
              <w:t>145062</w:t>
            </w:r>
          </w:p>
        </w:tc>
        <w:tc>
          <w:tcPr>
            <w:tcW w:w="844" w:type="dxa"/>
            <w:vAlign w:val="center"/>
          </w:tcPr>
          <w:p w:rsidR="00664FCE" w:rsidRDefault="00664FCE">
            <w:pPr>
              <w:pStyle w:val="ConsPlusNormal"/>
              <w:jc w:val="center"/>
            </w:pPr>
            <w:r>
              <w:t>156286</w:t>
            </w:r>
          </w:p>
        </w:tc>
      </w:tr>
      <w:tr w:rsidR="00664FCE">
        <w:tc>
          <w:tcPr>
            <w:tcW w:w="340" w:type="dxa"/>
          </w:tcPr>
          <w:p w:rsidR="00664FCE" w:rsidRDefault="00664FCE">
            <w:pPr>
              <w:pStyle w:val="ConsPlusNormal"/>
              <w:jc w:val="both"/>
            </w:pPr>
            <w:r>
              <w:t>3</w:t>
            </w:r>
          </w:p>
        </w:tc>
        <w:tc>
          <w:tcPr>
            <w:tcW w:w="3628" w:type="dxa"/>
          </w:tcPr>
          <w:p w:rsidR="00664FCE" w:rsidRDefault="00664FCE">
            <w:pPr>
              <w:pStyle w:val="ConsPlusNormal"/>
              <w:jc w:val="both"/>
            </w:pPr>
            <w:r>
              <w:t>ОГУП "Областной аптечный склад"</w:t>
            </w:r>
          </w:p>
        </w:tc>
        <w:tc>
          <w:tcPr>
            <w:tcW w:w="970" w:type="dxa"/>
            <w:vAlign w:val="center"/>
          </w:tcPr>
          <w:p w:rsidR="00664FCE" w:rsidRDefault="00664FCE">
            <w:pPr>
              <w:pStyle w:val="ConsPlusNormal"/>
              <w:jc w:val="center"/>
            </w:pPr>
            <w:r>
              <w:t>90</w:t>
            </w:r>
          </w:p>
        </w:tc>
        <w:tc>
          <w:tcPr>
            <w:tcW w:w="970" w:type="dxa"/>
            <w:vAlign w:val="center"/>
          </w:tcPr>
          <w:p w:rsidR="00664FCE" w:rsidRDefault="00664FCE">
            <w:pPr>
              <w:pStyle w:val="ConsPlusNormal"/>
              <w:jc w:val="center"/>
            </w:pPr>
            <w:r>
              <w:t>87</w:t>
            </w:r>
          </w:p>
        </w:tc>
        <w:tc>
          <w:tcPr>
            <w:tcW w:w="724" w:type="dxa"/>
            <w:vAlign w:val="center"/>
          </w:tcPr>
          <w:p w:rsidR="00664FCE" w:rsidRDefault="00664FCE">
            <w:pPr>
              <w:pStyle w:val="ConsPlusNormal"/>
              <w:jc w:val="center"/>
            </w:pPr>
            <w:r>
              <w:t>37088</w:t>
            </w:r>
          </w:p>
        </w:tc>
        <w:tc>
          <w:tcPr>
            <w:tcW w:w="724" w:type="dxa"/>
            <w:vAlign w:val="center"/>
          </w:tcPr>
          <w:p w:rsidR="00664FCE" w:rsidRDefault="00664FCE">
            <w:pPr>
              <w:pStyle w:val="ConsPlusNormal"/>
              <w:jc w:val="center"/>
            </w:pPr>
            <w:r>
              <w:t>40497</w:t>
            </w:r>
          </w:p>
        </w:tc>
        <w:tc>
          <w:tcPr>
            <w:tcW w:w="844" w:type="dxa"/>
            <w:vAlign w:val="center"/>
          </w:tcPr>
          <w:p w:rsidR="00664FCE" w:rsidRDefault="00664FCE">
            <w:pPr>
              <w:pStyle w:val="ConsPlusNormal"/>
              <w:jc w:val="center"/>
            </w:pPr>
            <w:r>
              <w:t>122716</w:t>
            </w:r>
          </w:p>
        </w:tc>
        <w:tc>
          <w:tcPr>
            <w:tcW w:w="844" w:type="dxa"/>
            <w:vAlign w:val="center"/>
          </w:tcPr>
          <w:p w:rsidR="00664FCE" w:rsidRDefault="00664FCE">
            <w:pPr>
              <w:pStyle w:val="ConsPlusNormal"/>
              <w:jc w:val="center"/>
            </w:pPr>
            <w:r>
              <w:t>167310</w:t>
            </w:r>
          </w:p>
        </w:tc>
      </w:tr>
      <w:tr w:rsidR="00664FCE">
        <w:tc>
          <w:tcPr>
            <w:tcW w:w="340" w:type="dxa"/>
          </w:tcPr>
          <w:p w:rsidR="00664FCE" w:rsidRDefault="00664FCE">
            <w:pPr>
              <w:pStyle w:val="ConsPlusNormal"/>
              <w:jc w:val="both"/>
            </w:pPr>
            <w:r>
              <w:t>4</w:t>
            </w:r>
          </w:p>
        </w:tc>
        <w:tc>
          <w:tcPr>
            <w:tcW w:w="3628" w:type="dxa"/>
          </w:tcPr>
          <w:p w:rsidR="00664FCE" w:rsidRDefault="00664FCE">
            <w:pPr>
              <w:pStyle w:val="ConsPlusNormal"/>
              <w:jc w:val="both"/>
            </w:pPr>
            <w:r>
              <w:t>ОГУП "Бакчарское"</w:t>
            </w:r>
          </w:p>
        </w:tc>
        <w:tc>
          <w:tcPr>
            <w:tcW w:w="970" w:type="dxa"/>
            <w:vAlign w:val="center"/>
          </w:tcPr>
          <w:p w:rsidR="00664FCE" w:rsidRDefault="00664FCE">
            <w:pPr>
              <w:pStyle w:val="ConsPlusNormal"/>
              <w:jc w:val="center"/>
            </w:pPr>
            <w:r>
              <w:t>34</w:t>
            </w:r>
          </w:p>
        </w:tc>
        <w:tc>
          <w:tcPr>
            <w:tcW w:w="970" w:type="dxa"/>
            <w:vAlign w:val="center"/>
          </w:tcPr>
          <w:p w:rsidR="00664FCE" w:rsidRDefault="00664FCE">
            <w:pPr>
              <w:pStyle w:val="ConsPlusNormal"/>
              <w:jc w:val="center"/>
            </w:pPr>
            <w:r>
              <w:t>37</w:t>
            </w:r>
          </w:p>
        </w:tc>
        <w:tc>
          <w:tcPr>
            <w:tcW w:w="724" w:type="dxa"/>
            <w:vAlign w:val="center"/>
          </w:tcPr>
          <w:p w:rsidR="00664FCE" w:rsidRDefault="00664FCE">
            <w:pPr>
              <w:pStyle w:val="ConsPlusNormal"/>
              <w:jc w:val="center"/>
            </w:pPr>
            <w:r>
              <w:t>40738</w:t>
            </w:r>
          </w:p>
        </w:tc>
        <w:tc>
          <w:tcPr>
            <w:tcW w:w="724" w:type="dxa"/>
            <w:vAlign w:val="center"/>
          </w:tcPr>
          <w:p w:rsidR="00664FCE" w:rsidRDefault="00664FCE">
            <w:pPr>
              <w:pStyle w:val="ConsPlusNormal"/>
              <w:jc w:val="center"/>
            </w:pPr>
            <w:r>
              <w:t>46221</w:t>
            </w:r>
          </w:p>
        </w:tc>
        <w:tc>
          <w:tcPr>
            <w:tcW w:w="844" w:type="dxa"/>
            <w:vAlign w:val="center"/>
          </w:tcPr>
          <w:p w:rsidR="00664FCE" w:rsidRDefault="00664FCE">
            <w:pPr>
              <w:pStyle w:val="ConsPlusNormal"/>
              <w:jc w:val="center"/>
            </w:pPr>
            <w:r>
              <w:t>102368</w:t>
            </w:r>
          </w:p>
        </w:tc>
        <w:tc>
          <w:tcPr>
            <w:tcW w:w="844" w:type="dxa"/>
            <w:vAlign w:val="center"/>
          </w:tcPr>
          <w:p w:rsidR="00664FCE" w:rsidRDefault="00664FCE">
            <w:pPr>
              <w:pStyle w:val="ConsPlusNormal"/>
              <w:jc w:val="center"/>
            </w:pPr>
            <w:r>
              <w:t>153325</w:t>
            </w:r>
          </w:p>
        </w:tc>
      </w:tr>
      <w:tr w:rsidR="00664FCE">
        <w:tc>
          <w:tcPr>
            <w:tcW w:w="3968" w:type="dxa"/>
            <w:gridSpan w:val="2"/>
          </w:tcPr>
          <w:p w:rsidR="00664FCE" w:rsidRDefault="00664FCE">
            <w:pPr>
              <w:pStyle w:val="ConsPlusNormal"/>
              <w:jc w:val="both"/>
            </w:pPr>
            <w:r>
              <w:t>ИТОГО по действующим предприятиям</w:t>
            </w:r>
          </w:p>
        </w:tc>
        <w:tc>
          <w:tcPr>
            <w:tcW w:w="970" w:type="dxa"/>
            <w:vAlign w:val="center"/>
          </w:tcPr>
          <w:p w:rsidR="00664FCE" w:rsidRDefault="00664FCE">
            <w:pPr>
              <w:pStyle w:val="ConsPlusNormal"/>
              <w:jc w:val="center"/>
            </w:pPr>
            <w:r>
              <w:t>1397</w:t>
            </w:r>
          </w:p>
        </w:tc>
        <w:tc>
          <w:tcPr>
            <w:tcW w:w="970" w:type="dxa"/>
            <w:vAlign w:val="center"/>
          </w:tcPr>
          <w:p w:rsidR="00664FCE" w:rsidRDefault="00664FCE">
            <w:pPr>
              <w:pStyle w:val="ConsPlusNormal"/>
              <w:jc w:val="center"/>
            </w:pPr>
            <w:r>
              <w:t>1412</w:t>
            </w:r>
          </w:p>
        </w:tc>
        <w:tc>
          <w:tcPr>
            <w:tcW w:w="724" w:type="dxa"/>
            <w:vAlign w:val="center"/>
          </w:tcPr>
          <w:p w:rsidR="00664FCE" w:rsidRDefault="00664FCE">
            <w:pPr>
              <w:pStyle w:val="ConsPlusNormal"/>
              <w:jc w:val="center"/>
            </w:pPr>
            <w:r>
              <w:t>40093</w:t>
            </w:r>
          </w:p>
        </w:tc>
        <w:tc>
          <w:tcPr>
            <w:tcW w:w="724" w:type="dxa"/>
            <w:vAlign w:val="center"/>
          </w:tcPr>
          <w:p w:rsidR="00664FCE" w:rsidRDefault="00664FCE">
            <w:pPr>
              <w:pStyle w:val="ConsPlusNormal"/>
              <w:jc w:val="center"/>
            </w:pPr>
            <w:r>
              <w:t>44531</w:t>
            </w:r>
          </w:p>
        </w:tc>
        <w:tc>
          <w:tcPr>
            <w:tcW w:w="844" w:type="dxa"/>
            <w:vAlign w:val="center"/>
          </w:tcPr>
          <w:p w:rsidR="00664FCE" w:rsidRDefault="00664FCE">
            <w:pPr>
              <w:pStyle w:val="ConsPlusNormal"/>
              <w:jc w:val="center"/>
            </w:pPr>
            <w:r>
              <w:t>152844</w:t>
            </w:r>
          </w:p>
        </w:tc>
        <w:tc>
          <w:tcPr>
            <w:tcW w:w="844" w:type="dxa"/>
            <w:vAlign w:val="center"/>
          </w:tcPr>
          <w:p w:rsidR="00664FCE" w:rsidRDefault="00664FCE">
            <w:pPr>
              <w:pStyle w:val="ConsPlusNormal"/>
              <w:jc w:val="center"/>
            </w:pPr>
            <w:r>
              <w:t>179008</w:t>
            </w:r>
          </w:p>
        </w:tc>
      </w:tr>
      <w:tr w:rsidR="00664FCE">
        <w:tc>
          <w:tcPr>
            <w:tcW w:w="340" w:type="dxa"/>
          </w:tcPr>
          <w:p w:rsidR="00664FCE" w:rsidRDefault="00664FCE">
            <w:pPr>
              <w:pStyle w:val="ConsPlusNormal"/>
              <w:jc w:val="both"/>
            </w:pPr>
            <w:r>
              <w:t>5</w:t>
            </w:r>
          </w:p>
        </w:tc>
        <w:tc>
          <w:tcPr>
            <w:tcW w:w="3628" w:type="dxa"/>
          </w:tcPr>
          <w:p w:rsidR="00664FCE" w:rsidRDefault="00664FCE">
            <w:pPr>
              <w:pStyle w:val="ConsPlusNormal"/>
              <w:jc w:val="both"/>
            </w:pPr>
            <w:r>
              <w:t>ОГУП "Первомайское ДРСУ"</w:t>
            </w:r>
          </w:p>
        </w:tc>
        <w:tc>
          <w:tcPr>
            <w:tcW w:w="5076" w:type="dxa"/>
            <w:gridSpan w:val="6"/>
            <w:vAlign w:val="center"/>
          </w:tcPr>
          <w:p w:rsidR="00664FCE" w:rsidRDefault="00664FCE">
            <w:pPr>
              <w:pStyle w:val="ConsPlusNormal"/>
              <w:jc w:val="both"/>
            </w:pPr>
            <w:r>
              <w:t>В марте 2022 года в отношении ОГУП "Первомайское ДРСУ" завершена процедура банкротства,</w:t>
            </w:r>
          </w:p>
          <w:p w:rsidR="00664FCE" w:rsidRDefault="00664FCE">
            <w:pPr>
              <w:pStyle w:val="ConsPlusNormal"/>
              <w:jc w:val="both"/>
            </w:pPr>
            <w:r>
              <w:t>в 2021 году предприятие не осуществляло хозяйственную деятельность</w:t>
            </w:r>
          </w:p>
        </w:tc>
      </w:tr>
    </w:tbl>
    <w:p w:rsidR="00664FCE" w:rsidRDefault="00664FCE">
      <w:pPr>
        <w:pStyle w:val="ConsPlusNormal"/>
        <w:jc w:val="both"/>
      </w:pPr>
    </w:p>
    <w:p w:rsidR="00664FCE" w:rsidRDefault="00664FCE">
      <w:pPr>
        <w:pStyle w:val="ConsPlusNormal"/>
        <w:jc w:val="both"/>
      </w:pPr>
    </w:p>
    <w:p w:rsidR="00664FCE" w:rsidRDefault="00664FCE">
      <w:pPr>
        <w:pStyle w:val="ConsPlusNormal"/>
        <w:jc w:val="both"/>
      </w:pPr>
    </w:p>
    <w:p w:rsidR="00664FCE" w:rsidRDefault="00664FCE">
      <w:pPr>
        <w:pStyle w:val="ConsPlusNormal"/>
        <w:jc w:val="both"/>
      </w:pPr>
    </w:p>
    <w:p w:rsidR="00664FCE" w:rsidRDefault="00664FCE">
      <w:pPr>
        <w:pStyle w:val="ConsPlusNormal"/>
        <w:jc w:val="both"/>
      </w:pPr>
    </w:p>
    <w:p w:rsidR="00664FCE" w:rsidRDefault="00664FCE">
      <w:pPr>
        <w:pStyle w:val="ConsPlusNormal"/>
        <w:jc w:val="right"/>
        <w:outlineLvl w:val="1"/>
      </w:pPr>
      <w:r>
        <w:t>Приложение 4</w:t>
      </w:r>
    </w:p>
    <w:p w:rsidR="00664FCE" w:rsidRDefault="00664FCE">
      <w:pPr>
        <w:pStyle w:val="ConsPlusNormal"/>
        <w:jc w:val="right"/>
      </w:pPr>
      <w:r>
        <w:t>к отчету</w:t>
      </w:r>
    </w:p>
    <w:p w:rsidR="00664FCE" w:rsidRDefault="00664FCE">
      <w:pPr>
        <w:pStyle w:val="ConsPlusNormal"/>
        <w:jc w:val="right"/>
      </w:pPr>
      <w:r>
        <w:t>о деятельности областных государственных</w:t>
      </w:r>
    </w:p>
    <w:p w:rsidR="00664FCE" w:rsidRDefault="00664FCE">
      <w:pPr>
        <w:pStyle w:val="ConsPlusNormal"/>
        <w:jc w:val="right"/>
      </w:pPr>
      <w:r>
        <w:t>унитарных предприятий за 2021 год</w:t>
      </w:r>
    </w:p>
    <w:p w:rsidR="00664FCE" w:rsidRDefault="00664FCE">
      <w:pPr>
        <w:pStyle w:val="ConsPlusNormal"/>
        <w:jc w:val="both"/>
      </w:pPr>
    </w:p>
    <w:p w:rsidR="00664FCE" w:rsidRDefault="00664FCE">
      <w:pPr>
        <w:pStyle w:val="ConsPlusTitle"/>
        <w:jc w:val="center"/>
      </w:pPr>
      <w:r>
        <w:t>СВЕДЕНИЯ</w:t>
      </w:r>
    </w:p>
    <w:p w:rsidR="00664FCE" w:rsidRDefault="00664FCE">
      <w:pPr>
        <w:pStyle w:val="ConsPlusTitle"/>
        <w:jc w:val="center"/>
      </w:pPr>
      <w:r>
        <w:t>О ПЕРЕЧИСЛЕНИИ ОБЛАСТНЫМИ ГОСУДАРСТВЕННЫМИ УНИТАРНЫМИ</w:t>
      </w:r>
    </w:p>
    <w:p w:rsidR="00664FCE" w:rsidRDefault="00664FCE">
      <w:pPr>
        <w:pStyle w:val="ConsPlusTitle"/>
        <w:jc w:val="center"/>
      </w:pPr>
      <w:r>
        <w:t>ПРЕДПРИЯТИЯМИ ЧАСТИ ПРИБЫЛИ В ОБЛАСТНОЙ БЮДЖЕТ</w:t>
      </w:r>
    </w:p>
    <w:p w:rsidR="00664FCE" w:rsidRDefault="00664FCE">
      <w:pPr>
        <w:pStyle w:val="ConsPlusTitle"/>
        <w:jc w:val="center"/>
      </w:pPr>
      <w:r>
        <w:t>ПО ИТОГАМ ДЕЯТЕЛЬНОСТИ В 2021 ГОДУ</w:t>
      </w:r>
    </w:p>
    <w:p w:rsidR="00664FCE" w:rsidRDefault="00664FCE">
      <w:pPr>
        <w:pStyle w:val="ConsPlusNormal"/>
        <w:jc w:val="both"/>
      </w:pPr>
    </w:p>
    <w:p w:rsidR="00664FCE" w:rsidRDefault="00664FCE">
      <w:pPr>
        <w:pStyle w:val="ConsPlusNormal"/>
        <w:sectPr w:rsidR="00664FCE">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1924"/>
        <w:gridCol w:w="1384"/>
        <w:gridCol w:w="1429"/>
        <w:gridCol w:w="1489"/>
        <w:gridCol w:w="1384"/>
        <w:gridCol w:w="1354"/>
        <w:gridCol w:w="1474"/>
        <w:gridCol w:w="1339"/>
        <w:gridCol w:w="1489"/>
      </w:tblGrid>
      <w:tr w:rsidR="00664FCE">
        <w:tc>
          <w:tcPr>
            <w:tcW w:w="340" w:type="dxa"/>
            <w:vMerge w:val="restart"/>
          </w:tcPr>
          <w:p w:rsidR="00664FCE" w:rsidRDefault="00664FCE">
            <w:pPr>
              <w:pStyle w:val="ConsPlusNormal"/>
              <w:jc w:val="center"/>
            </w:pPr>
            <w:r>
              <w:lastRenderedPageBreak/>
              <w:t>N</w:t>
            </w:r>
          </w:p>
        </w:tc>
        <w:tc>
          <w:tcPr>
            <w:tcW w:w="1924" w:type="dxa"/>
            <w:vMerge w:val="restart"/>
          </w:tcPr>
          <w:p w:rsidR="00664FCE" w:rsidRDefault="00664FCE">
            <w:pPr>
              <w:pStyle w:val="ConsPlusNormal"/>
              <w:jc w:val="center"/>
            </w:pPr>
            <w:r>
              <w:t>Наименование предприятия</w:t>
            </w:r>
          </w:p>
        </w:tc>
        <w:tc>
          <w:tcPr>
            <w:tcW w:w="1384" w:type="dxa"/>
            <w:vMerge w:val="restart"/>
          </w:tcPr>
          <w:p w:rsidR="00664FCE" w:rsidRDefault="00664FCE">
            <w:pPr>
              <w:pStyle w:val="ConsPlusNormal"/>
              <w:jc w:val="center"/>
            </w:pPr>
            <w:r>
              <w:t>Долг (+), переплата (-) на 31.12.2020, руб.</w:t>
            </w:r>
          </w:p>
        </w:tc>
        <w:tc>
          <w:tcPr>
            <w:tcW w:w="1429" w:type="dxa"/>
            <w:vMerge w:val="restart"/>
          </w:tcPr>
          <w:p w:rsidR="00664FCE" w:rsidRDefault="00664FCE">
            <w:pPr>
              <w:pStyle w:val="ConsPlusNormal"/>
              <w:jc w:val="center"/>
            </w:pPr>
            <w:r>
              <w:t>Сумма части прибыли, начисленная к внесению в областной бюджет за 2021 год, руб.</w:t>
            </w:r>
          </w:p>
        </w:tc>
        <w:tc>
          <w:tcPr>
            <w:tcW w:w="1489" w:type="dxa"/>
          </w:tcPr>
          <w:p w:rsidR="00664FCE" w:rsidRDefault="00664FCE">
            <w:pPr>
              <w:pStyle w:val="ConsPlusNormal"/>
              <w:jc w:val="center"/>
            </w:pPr>
            <w:r>
              <w:t>В том числе:</w:t>
            </w:r>
          </w:p>
        </w:tc>
        <w:tc>
          <w:tcPr>
            <w:tcW w:w="1384" w:type="dxa"/>
            <w:vMerge w:val="restart"/>
          </w:tcPr>
          <w:p w:rsidR="00664FCE" w:rsidRDefault="00664FCE">
            <w:pPr>
              <w:pStyle w:val="ConsPlusNormal"/>
              <w:jc w:val="center"/>
            </w:pPr>
            <w:r>
              <w:t>Фактически внесено в областной бюджет с 01.01.2021 до 31.12.2021, руб.</w:t>
            </w:r>
          </w:p>
        </w:tc>
        <w:tc>
          <w:tcPr>
            <w:tcW w:w="1354" w:type="dxa"/>
            <w:vMerge w:val="restart"/>
          </w:tcPr>
          <w:p w:rsidR="00664FCE" w:rsidRDefault="00664FCE">
            <w:pPr>
              <w:pStyle w:val="ConsPlusNormal"/>
              <w:jc w:val="center"/>
            </w:pPr>
            <w:r>
              <w:t>Долг (+), переплата (-) на 31.12.2021, руб. с учетом IV квартала 2021 года, руб.</w:t>
            </w:r>
          </w:p>
        </w:tc>
        <w:tc>
          <w:tcPr>
            <w:tcW w:w="1474" w:type="dxa"/>
          </w:tcPr>
          <w:p w:rsidR="00664FCE" w:rsidRDefault="00664FCE">
            <w:pPr>
              <w:pStyle w:val="ConsPlusNormal"/>
              <w:jc w:val="center"/>
            </w:pPr>
            <w:r>
              <w:t>В том числе:</w:t>
            </w:r>
          </w:p>
        </w:tc>
        <w:tc>
          <w:tcPr>
            <w:tcW w:w="1339" w:type="dxa"/>
            <w:vMerge w:val="restart"/>
          </w:tcPr>
          <w:p w:rsidR="00664FCE" w:rsidRDefault="00664FCE">
            <w:pPr>
              <w:pStyle w:val="ConsPlusNormal"/>
              <w:jc w:val="center"/>
            </w:pPr>
            <w:r>
              <w:t>Фактически внесено в областной бюджет с 01.01.2022 по 28.03.2022, руб.</w:t>
            </w:r>
          </w:p>
        </w:tc>
        <w:tc>
          <w:tcPr>
            <w:tcW w:w="1489" w:type="dxa"/>
            <w:vMerge w:val="restart"/>
          </w:tcPr>
          <w:p w:rsidR="00664FCE" w:rsidRDefault="00664FCE">
            <w:pPr>
              <w:pStyle w:val="ConsPlusNormal"/>
              <w:jc w:val="center"/>
            </w:pPr>
            <w:r>
              <w:t>Долг (+), переплата (-) на 28.03.2022 по итогам деятельности за 2021 год, руб.</w:t>
            </w:r>
          </w:p>
        </w:tc>
      </w:tr>
      <w:tr w:rsidR="00664FCE">
        <w:tc>
          <w:tcPr>
            <w:tcW w:w="340" w:type="dxa"/>
            <w:vMerge/>
          </w:tcPr>
          <w:p w:rsidR="00664FCE" w:rsidRDefault="00664FCE">
            <w:pPr>
              <w:pStyle w:val="ConsPlusNormal"/>
            </w:pPr>
          </w:p>
        </w:tc>
        <w:tc>
          <w:tcPr>
            <w:tcW w:w="1924" w:type="dxa"/>
            <w:vMerge/>
          </w:tcPr>
          <w:p w:rsidR="00664FCE" w:rsidRDefault="00664FCE">
            <w:pPr>
              <w:pStyle w:val="ConsPlusNormal"/>
            </w:pPr>
          </w:p>
        </w:tc>
        <w:tc>
          <w:tcPr>
            <w:tcW w:w="1384" w:type="dxa"/>
            <w:vMerge/>
          </w:tcPr>
          <w:p w:rsidR="00664FCE" w:rsidRDefault="00664FCE">
            <w:pPr>
              <w:pStyle w:val="ConsPlusNormal"/>
            </w:pPr>
          </w:p>
        </w:tc>
        <w:tc>
          <w:tcPr>
            <w:tcW w:w="1429" w:type="dxa"/>
            <w:vMerge/>
          </w:tcPr>
          <w:p w:rsidR="00664FCE" w:rsidRDefault="00664FCE">
            <w:pPr>
              <w:pStyle w:val="ConsPlusNormal"/>
            </w:pPr>
          </w:p>
        </w:tc>
        <w:tc>
          <w:tcPr>
            <w:tcW w:w="1489" w:type="dxa"/>
            <w:vAlign w:val="center"/>
          </w:tcPr>
          <w:p w:rsidR="00664FCE" w:rsidRDefault="00664FCE">
            <w:pPr>
              <w:pStyle w:val="ConsPlusNormal"/>
              <w:jc w:val="center"/>
            </w:pPr>
            <w:r>
              <w:t>сумма части прибыли, начисленная к доплате (+), к вычету (-) по итогам деятельности за IV квартал 2021 года, руб.</w:t>
            </w:r>
          </w:p>
        </w:tc>
        <w:tc>
          <w:tcPr>
            <w:tcW w:w="1384" w:type="dxa"/>
            <w:vMerge/>
          </w:tcPr>
          <w:p w:rsidR="00664FCE" w:rsidRDefault="00664FCE">
            <w:pPr>
              <w:pStyle w:val="ConsPlusNormal"/>
            </w:pPr>
          </w:p>
        </w:tc>
        <w:tc>
          <w:tcPr>
            <w:tcW w:w="1354" w:type="dxa"/>
            <w:vMerge/>
          </w:tcPr>
          <w:p w:rsidR="00664FCE" w:rsidRDefault="00664FCE">
            <w:pPr>
              <w:pStyle w:val="ConsPlusNormal"/>
            </w:pPr>
          </w:p>
        </w:tc>
        <w:tc>
          <w:tcPr>
            <w:tcW w:w="1474" w:type="dxa"/>
            <w:vAlign w:val="center"/>
          </w:tcPr>
          <w:p w:rsidR="00664FCE" w:rsidRDefault="00664FCE">
            <w:pPr>
              <w:pStyle w:val="ConsPlusNormal"/>
              <w:jc w:val="center"/>
            </w:pPr>
            <w:r>
              <w:t>просроченная задолженность, руб.</w:t>
            </w:r>
          </w:p>
        </w:tc>
        <w:tc>
          <w:tcPr>
            <w:tcW w:w="1339" w:type="dxa"/>
            <w:vMerge/>
          </w:tcPr>
          <w:p w:rsidR="00664FCE" w:rsidRDefault="00664FCE">
            <w:pPr>
              <w:pStyle w:val="ConsPlusNormal"/>
            </w:pPr>
          </w:p>
        </w:tc>
        <w:tc>
          <w:tcPr>
            <w:tcW w:w="1489" w:type="dxa"/>
            <w:vMerge/>
          </w:tcPr>
          <w:p w:rsidR="00664FCE" w:rsidRDefault="00664FCE">
            <w:pPr>
              <w:pStyle w:val="ConsPlusNormal"/>
            </w:pPr>
          </w:p>
        </w:tc>
      </w:tr>
      <w:tr w:rsidR="00664FCE">
        <w:tc>
          <w:tcPr>
            <w:tcW w:w="340" w:type="dxa"/>
            <w:vAlign w:val="center"/>
          </w:tcPr>
          <w:p w:rsidR="00664FCE" w:rsidRDefault="00664FCE">
            <w:pPr>
              <w:pStyle w:val="ConsPlusNormal"/>
              <w:jc w:val="both"/>
            </w:pPr>
            <w:r>
              <w:t>1</w:t>
            </w:r>
          </w:p>
        </w:tc>
        <w:tc>
          <w:tcPr>
            <w:tcW w:w="1924" w:type="dxa"/>
            <w:vAlign w:val="center"/>
          </w:tcPr>
          <w:p w:rsidR="00664FCE" w:rsidRDefault="00664FCE">
            <w:pPr>
              <w:pStyle w:val="ConsPlusNormal"/>
              <w:jc w:val="both"/>
            </w:pPr>
            <w:r>
              <w:t>ГУП ТО "Областное ДРСУ"</w:t>
            </w:r>
          </w:p>
        </w:tc>
        <w:tc>
          <w:tcPr>
            <w:tcW w:w="1384" w:type="dxa"/>
            <w:vAlign w:val="center"/>
          </w:tcPr>
          <w:p w:rsidR="00664FCE" w:rsidRDefault="00664FCE">
            <w:pPr>
              <w:pStyle w:val="ConsPlusNormal"/>
              <w:jc w:val="both"/>
            </w:pPr>
            <w:r>
              <w:t>11276535,31</w:t>
            </w:r>
          </w:p>
        </w:tc>
        <w:tc>
          <w:tcPr>
            <w:tcW w:w="1429" w:type="dxa"/>
            <w:vAlign w:val="center"/>
          </w:tcPr>
          <w:p w:rsidR="00664FCE" w:rsidRDefault="00664FCE">
            <w:pPr>
              <w:pStyle w:val="ConsPlusNormal"/>
              <w:jc w:val="both"/>
            </w:pPr>
            <w:r>
              <w:t>5373809,00</w:t>
            </w:r>
          </w:p>
        </w:tc>
        <w:tc>
          <w:tcPr>
            <w:tcW w:w="1489" w:type="dxa"/>
            <w:vAlign w:val="center"/>
          </w:tcPr>
          <w:p w:rsidR="00664FCE" w:rsidRDefault="00664FCE">
            <w:pPr>
              <w:pStyle w:val="ConsPlusNormal"/>
              <w:jc w:val="both"/>
            </w:pPr>
            <w:r>
              <w:t>-5203716,81</w:t>
            </w:r>
          </w:p>
        </w:tc>
        <w:tc>
          <w:tcPr>
            <w:tcW w:w="1384" w:type="dxa"/>
            <w:vAlign w:val="center"/>
          </w:tcPr>
          <w:p w:rsidR="00664FCE" w:rsidRDefault="00664FCE">
            <w:pPr>
              <w:pStyle w:val="ConsPlusNormal"/>
              <w:jc w:val="both"/>
            </w:pPr>
            <w:r>
              <w:t>21854061,12</w:t>
            </w:r>
          </w:p>
        </w:tc>
        <w:tc>
          <w:tcPr>
            <w:tcW w:w="1354" w:type="dxa"/>
            <w:vAlign w:val="center"/>
          </w:tcPr>
          <w:p w:rsidR="00664FCE" w:rsidRDefault="00664FCE">
            <w:pPr>
              <w:pStyle w:val="ConsPlusNormal"/>
              <w:jc w:val="both"/>
            </w:pPr>
            <w:r>
              <w:t>-5203716,81</w:t>
            </w:r>
          </w:p>
        </w:tc>
        <w:tc>
          <w:tcPr>
            <w:tcW w:w="1474" w:type="dxa"/>
            <w:vAlign w:val="center"/>
          </w:tcPr>
          <w:p w:rsidR="00664FCE" w:rsidRDefault="00664FCE">
            <w:pPr>
              <w:pStyle w:val="ConsPlusNormal"/>
              <w:jc w:val="both"/>
            </w:pPr>
            <w:r>
              <w:t>0,00</w:t>
            </w:r>
          </w:p>
        </w:tc>
        <w:tc>
          <w:tcPr>
            <w:tcW w:w="1339" w:type="dxa"/>
            <w:vAlign w:val="center"/>
          </w:tcPr>
          <w:p w:rsidR="00664FCE" w:rsidRDefault="00664FCE">
            <w:pPr>
              <w:pStyle w:val="ConsPlusNormal"/>
              <w:jc w:val="both"/>
            </w:pPr>
            <w:r>
              <w:t>0,00</w:t>
            </w:r>
          </w:p>
        </w:tc>
        <w:tc>
          <w:tcPr>
            <w:tcW w:w="1489" w:type="dxa"/>
            <w:vAlign w:val="center"/>
          </w:tcPr>
          <w:p w:rsidR="00664FCE" w:rsidRDefault="00664FCE">
            <w:pPr>
              <w:pStyle w:val="ConsPlusNormal"/>
              <w:jc w:val="both"/>
            </w:pPr>
            <w:r>
              <w:t>-5203716,81</w:t>
            </w:r>
          </w:p>
        </w:tc>
      </w:tr>
      <w:tr w:rsidR="00664FCE">
        <w:tc>
          <w:tcPr>
            <w:tcW w:w="340" w:type="dxa"/>
            <w:vAlign w:val="center"/>
          </w:tcPr>
          <w:p w:rsidR="00664FCE" w:rsidRDefault="00664FCE">
            <w:pPr>
              <w:pStyle w:val="ConsPlusNormal"/>
              <w:jc w:val="both"/>
            </w:pPr>
            <w:r>
              <w:t>2</w:t>
            </w:r>
          </w:p>
        </w:tc>
        <w:tc>
          <w:tcPr>
            <w:tcW w:w="1924" w:type="dxa"/>
            <w:vAlign w:val="center"/>
          </w:tcPr>
          <w:p w:rsidR="00664FCE" w:rsidRDefault="00664FCE">
            <w:pPr>
              <w:pStyle w:val="ConsPlusNormal"/>
              <w:jc w:val="both"/>
            </w:pPr>
            <w:r>
              <w:t>ОГУП "Кожевниковское ДРСУ"</w:t>
            </w:r>
          </w:p>
        </w:tc>
        <w:tc>
          <w:tcPr>
            <w:tcW w:w="1384" w:type="dxa"/>
            <w:vAlign w:val="center"/>
          </w:tcPr>
          <w:p w:rsidR="00664FCE" w:rsidRDefault="00664FCE">
            <w:pPr>
              <w:pStyle w:val="ConsPlusNormal"/>
              <w:jc w:val="both"/>
            </w:pPr>
            <w:r>
              <w:t>1871992,25</w:t>
            </w:r>
          </w:p>
        </w:tc>
        <w:tc>
          <w:tcPr>
            <w:tcW w:w="1429" w:type="dxa"/>
            <w:vAlign w:val="center"/>
          </w:tcPr>
          <w:p w:rsidR="00664FCE" w:rsidRDefault="00664FCE">
            <w:pPr>
              <w:pStyle w:val="ConsPlusNormal"/>
              <w:jc w:val="both"/>
            </w:pPr>
            <w:r>
              <w:t>3668545,25</w:t>
            </w:r>
          </w:p>
        </w:tc>
        <w:tc>
          <w:tcPr>
            <w:tcW w:w="1489" w:type="dxa"/>
            <w:vAlign w:val="center"/>
          </w:tcPr>
          <w:p w:rsidR="00664FCE" w:rsidRDefault="00664FCE">
            <w:pPr>
              <w:pStyle w:val="ConsPlusNormal"/>
              <w:jc w:val="both"/>
            </w:pPr>
            <w:r>
              <w:t>1505968,62</w:t>
            </w:r>
          </w:p>
        </w:tc>
        <w:tc>
          <w:tcPr>
            <w:tcW w:w="1384" w:type="dxa"/>
            <w:vAlign w:val="center"/>
          </w:tcPr>
          <w:p w:rsidR="00664FCE" w:rsidRDefault="00664FCE">
            <w:pPr>
              <w:pStyle w:val="ConsPlusNormal"/>
              <w:jc w:val="both"/>
            </w:pPr>
            <w:r>
              <w:t>4034568,88</w:t>
            </w:r>
          </w:p>
        </w:tc>
        <w:tc>
          <w:tcPr>
            <w:tcW w:w="1354" w:type="dxa"/>
            <w:vAlign w:val="center"/>
          </w:tcPr>
          <w:p w:rsidR="00664FCE" w:rsidRDefault="00664FCE">
            <w:pPr>
              <w:pStyle w:val="ConsPlusNormal"/>
              <w:jc w:val="both"/>
            </w:pPr>
            <w:r>
              <w:t>1505968,62</w:t>
            </w:r>
          </w:p>
        </w:tc>
        <w:tc>
          <w:tcPr>
            <w:tcW w:w="1474" w:type="dxa"/>
            <w:vAlign w:val="center"/>
          </w:tcPr>
          <w:p w:rsidR="00664FCE" w:rsidRDefault="00664FCE">
            <w:pPr>
              <w:pStyle w:val="ConsPlusNormal"/>
              <w:jc w:val="both"/>
            </w:pPr>
            <w:r>
              <w:t>0,00</w:t>
            </w:r>
          </w:p>
        </w:tc>
        <w:tc>
          <w:tcPr>
            <w:tcW w:w="1339" w:type="dxa"/>
            <w:vAlign w:val="center"/>
          </w:tcPr>
          <w:p w:rsidR="00664FCE" w:rsidRDefault="00664FCE">
            <w:pPr>
              <w:pStyle w:val="ConsPlusNormal"/>
              <w:jc w:val="both"/>
            </w:pPr>
            <w:r>
              <w:t>1505968,62</w:t>
            </w:r>
          </w:p>
        </w:tc>
        <w:tc>
          <w:tcPr>
            <w:tcW w:w="1489" w:type="dxa"/>
            <w:vAlign w:val="center"/>
          </w:tcPr>
          <w:p w:rsidR="00664FCE" w:rsidRDefault="00664FCE">
            <w:pPr>
              <w:pStyle w:val="ConsPlusNormal"/>
              <w:jc w:val="both"/>
            </w:pPr>
            <w:r>
              <w:t>0,00</w:t>
            </w:r>
          </w:p>
        </w:tc>
      </w:tr>
      <w:tr w:rsidR="00664FCE">
        <w:tc>
          <w:tcPr>
            <w:tcW w:w="340" w:type="dxa"/>
            <w:vAlign w:val="center"/>
          </w:tcPr>
          <w:p w:rsidR="00664FCE" w:rsidRDefault="00664FCE">
            <w:pPr>
              <w:pStyle w:val="ConsPlusNormal"/>
              <w:jc w:val="both"/>
            </w:pPr>
            <w:r>
              <w:t>3</w:t>
            </w:r>
          </w:p>
        </w:tc>
        <w:tc>
          <w:tcPr>
            <w:tcW w:w="1924" w:type="dxa"/>
            <w:vAlign w:val="center"/>
          </w:tcPr>
          <w:p w:rsidR="00664FCE" w:rsidRDefault="00664FCE">
            <w:pPr>
              <w:pStyle w:val="ConsPlusNormal"/>
              <w:jc w:val="both"/>
            </w:pPr>
            <w:r>
              <w:t>ОГУП "Областной аптечный склад"</w:t>
            </w:r>
          </w:p>
        </w:tc>
        <w:tc>
          <w:tcPr>
            <w:tcW w:w="1384" w:type="dxa"/>
            <w:vAlign w:val="center"/>
          </w:tcPr>
          <w:p w:rsidR="00664FCE" w:rsidRDefault="00664FCE">
            <w:pPr>
              <w:pStyle w:val="ConsPlusNormal"/>
              <w:jc w:val="both"/>
            </w:pPr>
            <w:r>
              <w:t>2149910,50</w:t>
            </w:r>
          </w:p>
        </w:tc>
        <w:tc>
          <w:tcPr>
            <w:tcW w:w="1429" w:type="dxa"/>
            <w:vAlign w:val="center"/>
          </w:tcPr>
          <w:p w:rsidR="00664FCE" w:rsidRDefault="00664FCE">
            <w:pPr>
              <w:pStyle w:val="ConsPlusNormal"/>
              <w:jc w:val="both"/>
            </w:pPr>
            <w:r>
              <w:t>1760103,75</w:t>
            </w:r>
          </w:p>
        </w:tc>
        <w:tc>
          <w:tcPr>
            <w:tcW w:w="1489" w:type="dxa"/>
            <w:vAlign w:val="center"/>
          </w:tcPr>
          <w:p w:rsidR="00664FCE" w:rsidRDefault="00664FCE">
            <w:pPr>
              <w:pStyle w:val="ConsPlusNormal"/>
              <w:jc w:val="both"/>
            </w:pPr>
            <w:r>
              <w:t>853919,81</w:t>
            </w:r>
          </w:p>
        </w:tc>
        <w:tc>
          <w:tcPr>
            <w:tcW w:w="1384" w:type="dxa"/>
            <w:vAlign w:val="center"/>
          </w:tcPr>
          <w:p w:rsidR="00664FCE" w:rsidRDefault="00664FCE">
            <w:pPr>
              <w:pStyle w:val="ConsPlusNormal"/>
              <w:jc w:val="both"/>
            </w:pPr>
            <w:r>
              <w:t>3056094,44</w:t>
            </w:r>
          </w:p>
        </w:tc>
        <w:tc>
          <w:tcPr>
            <w:tcW w:w="1354" w:type="dxa"/>
            <w:vAlign w:val="center"/>
          </w:tcPr>
          <w:p w:rsidR="00664FCE" w:rsidRDefault="00664FCE">
            <w:pPr>
              <w:pStyle w:val="ConsPlusNormal"/>
              <w:jc w:val="both"/>
            </w:pPr>
            <w:r>
              <w:t>853919,81</w:t>
            </w:r>
          </w:p>
        </w:tc>
        <w:tc>
          <w:tcPr>
            <w:tcW w:w="1474" w:type="dxa"/>
            <w:vAlign w:val="center"/>
          </w:tcPr>
          <w:p w:rsidR="00664FCE" w:rsidRDefault="00664FCE">
            <w:pPr>
              <w:pStyle w:val="ConsPlusNormal"/>
              <w:jc w:val="both"/>
            </w:pPr>
            <w:r>
              <w:t>0,00</w:t>
            </w:r>
          </w:p>
        </w:tc>
        <w:tc>
          <w:tcPr>
            <w:tcW w:w="1339" w:type="dxa"/>
            <w:vAlign w:val="center"/>
          </w:tcPr>
          <w:p w:rsidR="00664FCE" w:rsidRDefault="00664FCE">
            <w:pPr>
              <w:pStyle w:val="ConsPlusNormal"/>
              <w:jc w:val="both"/>
            </w:pPr>
            <w:r>
              <w:t>853919,81</w:t>
            </w:r>
          </w:p>
        </w:tc>
        <w:tc>
          <w:tcPr>
            <w:tcW w:w="1489" w:type="dxa"/>
            <w:vAlign w:val="center"/>
          </w:tcPr>
          <w:p w:rsidR="00664FCE" w:rsidRDefault="00664FCE">
            <w:pPr>
              <w:pStyle w:val="ConsPlusNormal"/>
              <w:jc w:val="both"/>
            </w:pPr>
            <w:r>
              <w:t>0,00</w:t>
            </w:r>
          </w:p>
        </w:tc>
      </w:tr>
      <w:tr w:rsidR="00664FCE">
        <w:tc>
          <w:tcPr>
            <w:tcW w:w="340" w:type="dxa"/>
            <w:vAlign w:val="center"/>
          </w:tcPr>
          <w:p w:rsidR="00664FCE" w:rsidRDefault="00664FCE">
            <w:pPr>
              <w:pStyle w:val="ConsPlusNormal"/>
              <w:jc w:val="both"/>
            </w:pPr>
            <w:r>
              <w:t>4</w:t>
            </w:r>
          </w:p>
        </w:tc>
        <w:tc>
          <w:tcPr>
            <w:tcW w:w="1924" w:type="dxa"/>
            <w:vAlign w:val="center"/>
          </w:tcPr>
          <w:p w:rsidR="00664FCE" w:rsidRDefault="00664FCE">
            <w:pPr>
              <w:pStyle w:val="ConsPlusNormal"/>
              <w:jc w:val="both"/>
            </w:pPr>
            <w:r>
              <w:t>ОГУП "Бакчарское"</w:t>
            </w:r>
          </w:p>
        </w:tc>
        <w:tc>
          <w:tcPr>
            <w:tcW w:w="1384" w:type="dxa"/>
            <w:vAlign w:val="center"/>
          </w:tcPr>
          <w:p w:rsidR="00664FCE" w:rsidRDefault="00664FCE">
            <w:pPr>
              <w:pStyle w:val="ConsPlusNormal"/>
              <w:jc w:val="both"/>
            </w:pPr>
            <w:r>
              <w:t>610929,69</w:t>
            </w:r>
          </w:p>
        </w:tc>
        <w:tc>
          <w:tcPr>
            <w:tcW w:w="1429" w:type="dxa"/>
            <w:vAlign w:val="center"/>
          </w:tcPr>
          <w:p w:rsidR="00664FCE" w:rsidRDefault="00664FCE">
            <w:pPr>
              <w:pStyle w:val="ConsPlusNormal"/>
              <w:jc w:val="both"/>
            </w:pPr>
            <w:r>
              <w:t>0,00</w:t>
            </w:r>
          </w:p>
        </w:tc>
        <w:tc>
          <w:tcPr>
            <w:tcW w:w="1489" w:type="dxa"/>
            <w:vAlign w:val="center"/>
          </w:tcPr>
          <w:p w:rsidR="00664FCE" w:rsidRDefault="00664FCE">
            <w:pPr>
              <w:pStyle w:val="ConsPlusNormal"/>
              <w:jc w:val="both"/>
            </w:pPr>
            <w:r>
              <w:t>0,00</w:t>
            </w:r>
          </w:p>
        </w:tc>
        <w:tc>
          <w:tcPr>
            <w:tcW w:w="1384" w:type="dxa"/>
            <w:vAlign w:val="center"/>
          </w:tcPr>
          <w:p w:rsidR="00664FCE" w:rsidRDefault="00664FCE">
            <w:pPr>
              <w:pStyle w:val="ConsPlusNormal"/>
              <w:jc w:val="both"/>
            </w:pPr>
            <w:r>
              <w:t>610929,69</w:t>
            </w:r>
          </w:p>
        </w:tc>
        <w:tc>
          <w:tcPr>
            <w:tcW w:w="1354" w:type="dxa"/>
            <w:vAlign w:val="center"/>
          </w:tcPr>
          <w:p w:rsidR="00664FCE" w:rsidRDefault="00664FCE">
            <w:pPr>
              <w:pStyle w:val="ConsPlusNormal"/>
              <w:jc w:val="both"/>
            </w:pPr>
            <w:r>
              <w:t>0,00</w:t>
            </w:r>
          </w:p>
        </w:tc>
        <w:tc>
          <w:tcPr>
            <w:tcW w:w="1474" w:type="dxa"/>
            <w:vAlign w:val="center"/>
          </w:tcPr>
          <w:p w:rsidR="00664FCE" w:rsidRDefault="00664FCE">
            <w:pPr>
              <w:pStyle w:val="ConsPlusNormal"/>
              <w:jc w:val="both"/>
            </w:pPr>
            <w:r>
              <w:t>0,00</w:t>
            </w:r>
          </w:p>
        </w:tc>
        <w:tc>
          <w:tcPr>
            <w:tcW w:w="1339" w:type="dxa"/>
            <w:vAlign w:val="center"/>
          </w:tcPr>
          <w:p w:rsidR="00664FCE" w:rsidRDefault="00664FCE">
            <w:pPr>
              <w:pStyle w:val="ConsPlusNormal"/>
              <w:jc w:val="both"/>
            </w:pPr>
            <w:r>
              <w:t>0,0</w:t>
            </w:r>
          </w:p>
        </w:tc>
        <w:tc>
          <w:tcPr>
            <w:tcW w:w="1489" w:type="dxa"/>
            <w:vAlign w:val="center"/>
          </w:tcPr>
          <w:p w:rsidR="00664FCE" w:rsidRDefault="00664FCE">
            <w:pPr>
              <w:pStyle w:val="ConsPlusNormal"/>
              <w:jc w:val="both"/>
            </w:pPr>
            <w:r>
              <w:t>0,00</w:t>
            </w:r>
          </w:p>
        </w:tc>
      </w:tr>
      <w:tr w:rsidR="00664FCE">
        <w:tc>
          <w:tcPr>
            <w:tcW w:w="340" w:type="dxa"/>
            <w:vAlign w:val="center"/>
          </w:tcPr>
          <w:p w:rsidR="00664FCE" w:rsidRDefault="00664FCE">
            <w:pPr>
              <w:pStyle w:val="ConsPlusNormal"/>
              <w:jc w:val="both"/>
            </w:pPr>
            <w:r>
              <w:t>5</w:t>
            </w:r>
          </w:p>
        </w:tc>
        <w:tc>
          <w:tcPr>
            <w:tcW w:w="1924" w:type="dxa"/>
            <w:vAlign w:val="center"/>
          </w:tcPr>
          <w:p w:rsidR="00664FCE" w:rsidRDefault="00664FCE">
            <w:pPr>
              <w:pStyle w:val="ConsPlusNormal"/>
              <w:jc w:val="both"/>
            </w:pPr>
            <w:r>
              <w:t>ОГУП "Первомайское ДРСУ"</w:t>
            </w:r>
          </w:p>
        </w:tc>
        <w:tc>
          <w:tcPr>
            <w:tcW w:w="1384" w:type="dxa"/>
            <w:vAlign w:val="center"/>
          </w:tcPr>
          <w:p w:rsidR="00664FCE" w:rsidRDefault="00664FCE">
            <w:pPr>
              <w:pStyle w:val="ConsPlusNormal"/>
              <w:jc w:val="both"/>
            </w:pPr>
            <w:r>
              <w:t>1112677,74</w:t>
            </w:r>
          </w:p>
        </w:tc>
        <w:tc>
          <w:tcPr>
            <w:tcW w:w="1429" w:type="dxa"/>
            <w:vAlign w:val="center"/>
          </w:tcPr>
          <w:p w:rsidR="00664FCE" w:rsidRDefault="00664FCE">
            <w:pPr>
              <w:pStyle w:val="ConsPlusNormal"/>
              <w:jc w:val="both"/>
            </w:pPr>
            <w:r>
              <w:t>0,00</w:t>
            </w:r>
          </w:p>
        </w:tc>
        <w:tc>
          <w:tcPr>
            <w:tcW w:w="1489" w:type="dxa"/>
            <w:vAlign w:val="center"/>
          </w:tcPr>
          <w:p w:rsidR="00664FCE" w:rsidRDefault="00664FCE">
            <w:pPr>
              <w:pStyle w:val="ConsPlusNormal"/>
              <w:jc w:val="both"/>
            </w:pPr>
            <w:r>
              <w:t>0,00</w:t>
            </w:r>
          </w:p>
        </w:tc>
        <w:tc>
          <w:tcPr>
            <w:tcW w:w="1384" w:type="dxa"/>
            <w:vAlign w:val="center"/>
          </w:tcPr>
          <w:p w:rsidR="00664FCE" w:rsidRDefault="00664FCE">
            <w:pPr>
              <w:pStyle w:val="ConsPlusNormal"/>
              <w:jc w:val="both"/>
            </w:pPr>
            <w:r>
              <w:t>0,00</w:t>
            </w:r>
          </w:p>
        </w:tc>
        <w:tc>
          <w:tcPr>
            <w:tcW w:w="1354" w:type="dxa"/>
            <w:vAlign w:val="center"/>
          </w:tcPr>
          <w:p w:rsidR="00664FCE" w:rsidRDefault="00664FCE">
            <w:pPr>
              <w:pStyle w:val="ConsPlusNormal"/>
              <w:jc w:val="both"/>
            </w:pPr>
            <w:r>
              <w:t>1112677,74</w:t>
            </w:r>
          </w:p>
        </w:tc>
        <w:tc>
          <w:tcPr>
            <w:tcW w:w="1474" w:type="dxa"/>
            <w:vAlign w:val="center"/>
          </w:tcPr>
          <w:p w:rsidR="00664FCE" w:rsidRDefault="00664FCE">
            <w:pPr>
              <w:pStyle w:val="ConsPlusNormal"/>
              <w:jc w:val="both"/>
            </w:pPr>
            <w:r>
              <w:t>1112677,74</w:t>
            </w:r>
          </w:p>
        </w:tc>
        <w:tc>
          <w:tcPr>
            <w:tcW w:w="1339" w:type="dxa"/>
            <w:vAlign w:val="center"/>
          </w:tcPr>
          <w:p w:rsidR="00664FCE" w:rsidRDefault="00664FCE">
            <w:pPr>
              <w:pStyle w:val="ConsPlusNormal"/>
              <w:jc w:val="both"/>
            </w:pPr>
            <w:r>
              <w:t>0,0</w:t>
            </w:r>
          </w:p>
        </w:tc>
        <w:tc>
          <w:tcPr>
            <w:tcW w:w="1489" w:type="dxa"/>
            <w:vAlign w:val="center"/>
          </w:tcPr>
          <w:p w:rsidR="00664FCE" w:rsidRDefault="00664FCE">
            <w:pPr>
              <w:pStyle w:val="ConsPlusNormal"/>
              <w:jc w:val="both"/>
            </w:pPr>
            <w:r>
              <w:t>1112677,74</w:t>
            </w:r>
          </w:p>
        </w:tc>
      </w:tr>
      <w:tr w:rsidR="00664FCE">
        <w:tc>
          <w:tcPr>
            <w:tcW w:w="2264" w:type="dxa"/>
            <w:gridSpan w:val="2"/>
            <w:tcBorders>
              <w:bottom w:val="nil"/>
            </w:tcBorders>
            <w:vAlign w:val="center"/>
          </w:tcPr>
          <w:p w:rsidR="00664FCE" w:rsidRDefault="00664FCE">
            <w:pPr>
              <w:pStyle w:val="ConsPlusNormal"/>
              <w:jc w:val="both"/>
            </w:pPr>
            <w:r>
              <w:t>ИТОГО:</w:t>
            </w:r>
          </w:p>
        </w:tc>
        <w:tc>
          <w:tcPr>
            <w:tcW w:w="1384" w:type="dxa"/>
            <w:vAlign w:val="center"/>
          </w:tcPr>
          <w:p w:rsidR="00664FCE" w:rsidRDefault="00664FCE">
            <w:pPr>
              <w:pStyle w:val="ConsPlusNormal"/>
              <w:jc w:val="both"/>
            </w:pPr>
            <w:r>
              <w:t>17022045,49</w:t>
            </w:r>
          </w:p>
        </w:tc>
        <w:tc>
          <w:tcPr>
            <w:tcW w:w="1429" w:type="dxa"/>
            <w:vAlign w:val="center"/>
          </w:tcPr>
          <w:p w:rsidR="00664FCE" w:rsidRDefault="00664FCE">
            <w:pPr>
              <w:pStyle w:val="ConsPlusNormal"/>
              <w:jc w:val="both"/>
            </w:pPr>
            <w:r>
              <w:t>10802458,00</w:t>
            </w:r>
          </w:p>
        </w:tc>
        <w:tc>
          <w:tcPr>
            <w:tcW w:w="1489" w:type="dxa"/>
            <w:vAlign w:val="center"/>
          </w:tcPr>
          <w:p w:rsidR="00664FCE" w:rsidRDefault="00664FCE">
            <w:pPr>
              <w:pStyle w:val="ConsPlusNormal"/>
              <w:jc w:val="both"/>
            </w:pPr>
            <w:r>
              <w:t>-2843828,38</w:t>
            </w:r>
          </w:p>
        </w:tc>
        <w:tc>
          <w:tcPr>
            <w:tcW w:w="1384" w:type="dxa"/>
            <w:vAlign w:val="center"/>
          </w:tcPr>
          <w:p w:rsidR="00664FCE" w:rsidRDefault="00664FCE">
            <w:pPr>
              <w:pStyle w:val="ConsPlusNormal"/>
              <w:jc w:val="both"/>
            </w:pPr>
            <w:r>
              <w:t>29555654,13</w:t>
            </w:r>
          </w:p>
        </w:tc>
        <w:tc>
          <w:tcPr>
            <w:tcW w:w="1354" w:type="dxa"/>
            <w:vAlign w:val="center"/>
          </w:tcPr>
          <w:p w:rsidR="00664FCE" w:rsidRDefault="00664FCE">
            <w:pPr>
              <w:pStyle w:val="ConsPlusNormal"/>
              <w:jc w:val="both"/>
            </w:pPr>
            <w:r>
              <w:t>-1731150,64</w:t>
            </w:r>
          </w:p>
        </w:tc>
        <w:tc>
          <w:tcPr>
            <w:tcW w:w="1474" w:type="dxa"/>
            <w:vAlign w:val="center"/>
          </w:tcPr>
          <w:p w:rsidR="00664FCE" w:rsidRDefault="00664FCE">
            <w:pPr>
              <w:pStyle w:val="ConsPlusNormal"/>
              <w:jc w:val="both"/>
            </w:pPr>
            <w:r>
              <w:t>1112677,74</w:t>
            </w:r>
          </w:p>
        </w:tc>
        <w:tc>
          <w:tcPr>
            <w:tcW w:w="1339" w:type="dxa"/>
            <w:vAlign w:val="center"/>
          </w:tcPr>
          <w:p w:rsidR="00664FCE" w:rsidRDefault="00664FCE">
            <w:pPr>
              <w:pStyle w:val="ConsPlusNormal"/>
              <w:jc w:val="both"/>
            </w:pPr>
            <w:r>
              <w:t>2359888,43</w:t>
            </w:r>
          </w:p>
        </w:tc>
        <w:tc>
          <w:tcPr>
            <w:tcW w:w="1489" w:type="dxa"/>
            <w:vAlign w:val="center"/>
          </w:tcPr>
          <w:p w:rsidR="00664FCE" w:rsidRDefault="00664FCE">
            <w:pPr>
              <w:pStyle w:val="ConsPlusNormal"/>
              <w:jc w:val="both"/>
            </w:pPr>
            <w:r>
              <w:t>- 4091039,07</w:t>
            </w:r>
          </w:p>
        </w:tc>
      </w:tr>
      <w:tr w:rsidR="00664FCE">
        <w:tc>
          <w:tcPr>
            <w:tcW w:w="2264" w:type="dxa"/>
            <w:gridSpan w:val="2"/>
            <w:tcBorders>
              <w:top w:val="nil"/>
              <w:bottom w:val="nil"/>
            </w:tcBorders>
            <w:vAlign w:val="center"/>
          </w:tcPr>
          <w:p w:rsidR="00664FCE" w:rsidRDefault="00664FCE">
            <w:pPr>
              <w:pStyle w:val="ConsPlusNormal"/>
              <w:jc w:val="both"/>
            </w:pPr>
            <w:r>
              <w:t>В ТОМ ЧИСЛЕ: ДОЛГ</w:t>
            </w:r>
          </w:p>
        </w:tc>
        <w:tc>
          <w:tcPr>
            <w:tcW w:w="1384" w:type="dxa"/>
            <w:vAlign w:val="center"/>
          </w:tcPr>
          <w:p w:rsidR="00664FCE" w:rsidRDefault="00664FCE">
            <w:pPr>
              <w:pStyle w:val="ConsPlusNormal"/>
              <w:jc w:val="both"/>
            </w:pPr>
            <w:r>
              <w:t>17022045,49</w:t>
            </w:r>
          </w:p>
        </w:tc>
        <w:tc>
          <w:tcPr>
            <w:tcW w:w="1429" w:type="dxa"/>
            <w:vAlign w:val="center"/>
          </w:tcPr>
          <w:p w:rsidR="00664FCE" w:rsidRDefault="00664FCE">
            <w:pPr>
              <w:pStyle w:val="ConsPlusNormal"/>
            </w:pPr>
          </w:p>
        </w:tc>
        <w:tc>
          <w:tcPr>
            <w:tcW w:w="1489" w:type="dxa"/>
            <w:vAlign w:val="center"/>
          </w:tcPr>
          <w:p w:rsidR="00664FCE" w:rsidRDefault="00664FCE">
            <w:pPr>
              <w:pStyle w:val="ConsPlusNormal"/>
            </w:pPr>
          </w:p>
        </w:tc>
        <w:tc>
          <w:tcPr>
            <w:tcW w:w="1384" w:type="dxa"/>
            <w:vAlign w:val="center"/>
          </w:tcPr>
          <w:p w:rsidR="00664FCE" w:rsidRDefault="00664FCE">
            <w:pPr>
              <w:pStyle w:val="ConsPlusNormal"/>
            </w:pPr>
          </w:p>
        </w:tc>
        <w:tc>
          <w:tcPr>
            <w:tcW w:w="1354" w:type="dxa"/>
            <w:vAlign w:val="center"/>
          </w:tcPr>
          <w:p w:rsidR="00664FCE" w:rsidRDefault="00664FCE">
            <w:pPr>
              <w:pStyle w:val="ConsPlusNormal"/>
              <w:jc w:val="both"/>
            </w:pPr>
            <w:r>
              <w:t>3472566,17</w:t>
            </w:r>
          </w:p>
        </w:tc>
        <w:tc>
          <w:tcPr>
            <w:tcW w:w="1474" w:type="dxa"/>
            <w:vAlign w:val="center"/>
          </w:tcPr>
          <w:p w:rsidR="00664FCE" w:rsidRDefault="00664FCE">
            <w:pPr>
              <w:pStyle w:val="ConsPlusNormal"/>
            </w:pPr>
          </w:p>
        </w:tc>
        <w:tc>
          <w:tcPr>
            <w:tcW w:w="1339" w:type="dxa"/>
            <w:vAlign w:val="center"/>
          </w:tcPr>
          <w:p w:rsidR="00664FCE" w:rsidRDefault="00664FCE">
            <w:pPr>
              <w:pStyle w:val="ConsPlusNormal"/>
            </w:pPr>
          </w:p>
        </w:tc>
        <w:tc>
          <w:tcPr>
            <w:tcW w:w="1489" w:type="dxa"/>
            <w:vAlign w:val="center"/>
          </w:tcPr>
          <w:p w:rsidR="00664FCE" w:rsidRDefault="00664FCE">
            <w:pPr>
              <w:pStyle w:val="ConsPlusNormal"/>
              <w:jc w:val="both"/>
            </w:pPr>
            <w:r>
              <w:t>1112677,74</w:t>
            </w:r>
          </w:p>
        </w:tc>
      </w:tr>
      <w:tr w:rsidR="00664FCE">
        <w:tc>
          <w:tcPr>
            <w:tcW w:w="2264" w:type="dxa"/>
            <w:gridSpan w:val="2"/>
            <w:tcBorders>
              <w:top w:val="nil"/>
            </w:tcBorders>
            <w:vAlign w:val="center"/>
          </w:tcPr>
          <w:p w:rsidR="00664FCE" w:rsidRDefault="00664FCE">
            <w:pPr>
              <w:pStyle w:val="ConsPlusNormal"/>
              <w:jc w:val="both"/>
            </w:pPr>
            <w:r>
              <w:t>ПЕРЕПЛАТА</w:t>
            </w:r>
          </w:p>
        </w:tc>
        <w:tc>
          <w:tcPr>
            <w:tcW w:w="1384" w:type="dxa"/>
            <w:vAlign w:val="center"/>
          </w:tcPr>
          <w:p w:rsidR="00664FCE" w:rsidRDefault="00664FCE">
            <w:pPr>
              <w:pStyle w:val="ConsPlusNormal"/>
              <w:jc w:val="both"/>
            </w:pPr>
            <w:r>
              <w:t>0,00</w:t>
            </w:r>
          </w:p>
        </w:tc>
        <w:tc>
          <w:tcPr>
            <w:tcW w:w="1429" w:type="dxa"/>
            <w:vAlign w:val="center"/>
          </w:tcPr>
          <w:p w:rsidR="00664FCE" w:rsidRDefault="00664FCE">
            <w:pPr>
              <w:pStyle w:val="ConsPlusNormal"/>
            </w:pPr>
          </w:p>
        </w:tc>
        <w:tc>
          <w:tcPr>
            <w:tcW w:w="1489" w:type="dxa"/>
            <w:vAlign w:val="center"/>
          </w:tcPr>
          <w:p w:rsidR="00664FCE" w:rsidRDefault="00664FCE">
            <w:pPr>
              <w:pStyle w:val="ConsPlusNormal"/>
            </w:pPr>
          </w:p>
        </w:tc>
        <w:tc>
          <w:tcPr>
            <w:tcW w:w="1384" w:type="dxa"/>
            <w:vAlign w:val="center"/>
          </w:tcPr>
          <w:p w:rsidR="00664FCE" w:rsidRDefault="00664FCE">
            <w:pPr>
              <w:pStyle w:val="ConsPlusNormal"/>
            </w:pPr>
          </w:p>
        </w:tc>
        <w:tc>
          <w:tcPr>
            <w:tcW w:w="1354" w:type="dxa"/>
            <w:vAlign w:val="center"/>
          </w:tcPr>
          <w:p w:rsidR="00664FCE" w:rsidRDefault="00664FCE">
            <w:pPr>
              <w:pStyle w:val="ConsPlusNormal"/>
              <w:jc w:val="both"/>
            </w:pPr>
            <w:r>
              <w:t>5203716,81</w:t>
            </w:r>
          </w:p>
        </w:tc>
        <w:tc>
          <w:tcPr>
            <w:tcW w:w="1474" w:type="dxa"/>
            <w:vAlign w:val="center"/>
          </w:tcPr>
          <w:p w:rsidR="00664FCE" w:rsidRDefault="00664FCE">
            <w:pPr>
              <w:pStyle w:val="ConsPlusNormal"/>
            </w:pPr>
          </w:p>
        </w:tc>
        <w:tc>
          <w:tcPr>
            <w:tcW w:w="1339" w:type="dxa"/>
            <w:vAlign w:val="center"/>
          </w:tcPr>
          <w:p w:rsidR="00664FCE" w:rsidRDefault="00664FCE">
            <w:pPr>
              <w:pStyle w:val="ConsPlusNormal"/>
            </w:pPr>
          </w:p>
        </w:tc>
        <w:tc>
          <w:tcPr>
            <w:tcW w:w="1489" w:type="dxa"/>
            <w:vAlign w:val="center"/>
          </w:tcPr>
          <w:p w:rsidR="00664FCE" w:rsidRDefault="00664FCE">
            <w:pPr>
              <w:pStyle w:val="ConsPlusNormal"/>
              <w:jc w:val="both"/>
            </w:pPr>
            <w:r>
              <w:t>5203716,81</w:t>
            </w:r>
          </w:p>
        </w:tc>
      </w:tr>
    </w:tbl>
    <w:p w:rsidR="00664FCE" w:rsidRDefault="00664FCE">
      <w:pPr>
        <w:pStyle w:val="ConsPlusNormal"/>
        <w:sectPr w:rsidR="00664FCE">
          <w:pgSz w:w="16838" w:h="11905" w:orient="landscape"/>
          <w:pgMar w:top="1701" w:right="1134" w:bottom="850" w:left="1134" w:header="0" w:footer="0" w:gutter="0"/>
          <w:cols w:space="720"/>
          <w:titlePg/>
        </w:sectPr>
      </w:pPr>
    </w:p>
    <w:p w:rsidR="00664FCE" w:rsidRDefault="00664FCE">
      <w:pPr>
        <w:pStyle w:val="ConsPlusNormal"/>
        <w:jc w:val="both"/>
      </w:pPr>
    </w:p>
    <w:p w:rsidR="00664FCE" w:rsidRDefault="00664FCE">
      <w:pPr>
        <w:pStyle w:val="ConsPlusNormal"/>
        <w:jc w:val="both"/>
      </w:pPr>
    </w:p>
    <w:p w:rsidR="00664FCE" w:rsidRDefault="00664FCE">
      <w:pPr>
        <w:pStyle w:val="ConsPlusNormal"/>
        <w:jc w:val="both"/>
      </w:pPr>
    </w:p>
    <w:p w:rsidR="00664FCE" w:rsidRDefault="00664FCE">
      <w:pPr>
        <w:pStyle w:val="ConsPlusNormal"/>
        <w:jc w:val="both"/>
      </w:pPr>
    </w:p>
    <w:p w:rsidR="00664FCE" w:rsidRDefault="00664FCE">
      <w:pPr>
        <w:pStyle w:val="ConsPlusNormal"/>
        <w:jc w:val="both"/>
      </w:pPr>
    </w:p>
    <w:p w:rsidR="00664FCE" w:rsidRDefault="00664FCE">
      <w:pPr>
        <w:pStyle w:val="ConsPlusNormal"/>
        <w:jc w:val="right"/>
        <w:outlineLvl w:val="1"/>
      </w:pPr>
      <w:r>
        <w:t>Приложение 5</w:t>
      </w:r>
    </w:p>
    <w:p w:rsidR="00664FCE" w:rsidRDefault="00664FCE">
      <w:pPr>
        <w:pStyle w:val="ConsPlusNormal"/>
        <w:jc w:val="right"/>
      </w:pPr>
      <w:r>
        <w:t>к отчету</w:t>
      </w:r>
    </w:p>
    <w:p w:rsidR="00664FCE" w:rsidRDefault="00664FCE">
      <w:pPr>
        <w:pStyle w:val="ConsPlusNormal"/>
        <w:jc w:val="right"/>
      </w:pPr>
      <w:r>
        <w:t>о деятельности областных государственных</w:t>
      </w:r>
    </w:p>
    <w:p w:rsidR="00664FCE" w:rsidRDefault="00664FCE">
      <w:pPr>
        <w:pStyle w:val="ConsPlusNormal"/>
        <w:jc w:val="right"/>
      </w:pPr>
      <w:r>
        <w:t>унитарных предприятий за 2021 год</w:t>
      </w:r>
    </w:p>
    <w:p w:rsidR="00664FCE" w:rsidRDefault="00664FCE">
      <w:pPr>
        <w:pStyle w:val="ConsPlusNormal"/>
        <w:jc w:val="both"/>
      </w:pPr>
    </w:p>
    <w:p w:rsidR="00664FCE" w:rsidRDefault="00664FCE">
      <w:pPr>
        <w:pStyle w:val="ConsPlusTitle"/>
        <w:jc w:val="center"/>
      </w:pPr>
      <w:bookmarkStart w:id="4" w:name="P520"/>
      <w:bookmarkEnd w:id="4"/>
      <w:r>
        <w:t>РЕЗУЛЬТАТЫ</w:t>
      </w:r>
    </w:p>
    <w:p w:rsidR="00664FCE" w:rsidRDefault="00664FCE">
      <w:pPr>
        <w:pStyle w:val="ConsPlusTitle"/>
        <w:jc w:val="center"/>
      </w:pPr>
      <w:r>
        <w:t>АНАЛИЗА ДЕЯТЕЛЬНОСТИ ОБЛАСТНЫХ ГОСУДАРСТВЕННЫХ УНИТАРНЫХ</w:t>
      </w:r>
    </w:p>
    <w:p w:rsidR="00664FCE" w:rsidRDefault="00664FCE">
      <w:pPr>
        <w:pStyle w:val="ConsPlusTitle"/>
        <w:jc w:val="center"/>
      </w:pPr>
      <w:r>
        <w:t>ПРЕДПРИЯТИЙ ЗА 2021 ГОД В СООТВЕТСТВИИ С КРИТЕРИЯМИ</w:t>
      </w:r>
    </w:p>
    <w:p w:rsidR="00664FCE" w:rsidRDefault="00664FCE">
      <w:pPr>
        <w:pStyle w:val="ConsPlusTitle"/>
        <w:jc w:val="center"/>
      </w:pPr>
      <w:r>
        <w:t>ЦЕЛЕСООБРАЗНОСТИ ИХ СОХРАНЕНИЯ В СОБСТВЕННОСТИ</w:t>
      </w:r>
    </w:p>
    <w:p w:rsidR="00664FCE" w:rsidRDefault="00664FCE">
      <w:pPr>
        <w:pStyle w:val="ConsPlusTitle"/>
        <w:jc w:val="center"/>
      </w:pPr>
      <w:r>
        <w:t>ТОМСКОЙ ОБЛАСТИ</w:t>
      </w:r>
    </w:p>
    <w:p w:rsidR="00664FCE" w:rsidRDefault="00664FC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2269"/>
        <w:gridCol w:w="2154"/>
        <w:gridCol w:w="1984"/>
        <w:gridCol w:w="2268"/>
      </w:tblGrid>
      <w:tr w:rsidR="00664FCE">
        <w:tc>
          <w:tcPr>
            <w:tcW w:w="340" w:type="dxa"/>
          </w:tcPr>
          <w:p w:rsidR="00664FCE" w:rsidRDefault="00664FCE">
            <w:pPr>
              <w:pStyle w:val="ConsPlusNormal"/>
              <w:jc w:val="center"/>
            </w:pPr>
            <w:r>
              <w:t>N</w:t>
            </w:r>
          </w:p>
        </w:tc>
        <w:tc>
          <w:tcPr>
            <w:tcW w:w="2269" w:type="dxa"/>
          </w:tcPr>
          <w:p w:rsidR="00664FCE" w:rsidRDefault="00664FCE">
            <w:pPr>
              <w:pStyle w:val="ConsPlusNormal"/>
              <w:jc w:val="center"/>
            </w:pPr>
            <w:r>
              <w:t>Деятельность предприятия, соответствующая критерию необходимости сохранения в государственной собственности</w:t>
            </w:r>
          </w:p>
        </w:tc>
        <w:tc>
          <w:tcPr>
            <w:tcW w:w="2154" w:type="dxa"/>
          </w:tcPr>
          <w:p w:rsidR="00664FCE" w:rsidRDefault="00664FCE">
            <w:pPr>
              <w:pStyle w:val="ConsPlusNormal"/>
              <w:jc w:val="center"/>
            </w:pPr>
            <w:r>
              <w:t>Бюджетная эффективность деятельности предприятия</w:t>
            </w:r>
          </w:p>
        </w:tc>
        <w:tc>
          <w:tcPr>
            <w:tcW w:w="1984" w:type="dxa"/>
          </w:tcPr>
          <w:p w:rsidR="00664FCE" w:rsidRDefault="00664FCE">
            <w:pPr>
              <w:pStyle w:val="ConsPlusNormal"/>
              <w:jc w:val="center"/>
            </w:pPr>
            <w:r>
              <w:t>Экономическая эффективность деятельности предприятия &lt;*&gt;</w:t>
            </w:r>
          </w:p>
        </w:tc>
        <w:tc>
          <w:tcPr>
            <w:tcW w:w="2268" w:type="dxa"/>
          </w:tcPr>
          <w:p w:rsidR="00664FCE" w:rsidRDefault="00664FCE">
            <w:pPr>
              <w:pStyle w:val="ConsPlusNormal"/>
              <w:jc w:val="center"/>
            </w:pPr>
            <w:r>
              <w:t>Вывод</w:t>
            </w:r>
          </w:p>
        </w:tc>
      </w:tr>
      <w:tr w:rsidR="00664FCE">
        <w:tc>
          <w:tcPr>
            <w:tcW w:w="340" w:type="dxa"/>
          </w:tcPr>
          <w:p w:rsidR="00664FCE" w:rsidRDefault="00664FCE">
            <w:pPr>
              <w:pStyle w:val="ConsPlusNormal"/>
              <w:jc w:val="center"/>
            </w:pPr>
            <w:r>
              <w:t>1</w:t>
            </w:r>
          </w:p>
        </w:tc>
        <w:tc>
          <w:tcPr>
            <w:tcW w:w="2269" w:type="dxa"/>
          </w:tcPr>
          <w:p w:rsidR="00664FCE" w:rsidRDefault="00664FCE">
            <w:pPr>
              <w:pStyle w:val="ConsPlusNormal"/>
              <w:jc w:val="center"/>
            </w:pPr>
            <w:r>
              <w:t>2</w:t>
            </w:r>
          </w:p>
        </w:tc>
        <w:tc>
          <w:tcPr>
            <w:tcW w:w="2154" w:type="dxa"/>
          </w:tcPr>
          <w:p w:rsidR="00664FCE" w:rsidRDefault="00664FCE">
            <w:pPr>
              <w:pStyle w:val="ConsPlusNormal"/>
              <w:jc w:val="center"/>
            </w:pPr>
            <w:r>
              <w:t>3</w:t>
            </w:r>
          </w:p>
        </w:tc>
        <w:tc>
          <w:tcPr>
            <w:tcW w:w="1984" w:type="dxa"/>
          </w:tcPr>
          <w:p w:rsidR="00664FCE" w:rsidRDefault="00664FCE">
            <w:pPr>
              <w:pStyle w:val="ConsPlusNormal"/>
              <w:jc w:val="center"/>
            </w:pPr>
            <w:r>
              <w:t>4</w:t>
            </w:r>
          </w:p>
        </w:tc>
        <w:tc>
          <w:tcPr>
            <w:tcW w:w="2268" w:type="dxa"/>
          </w:tcPr>
          <w:p w:rsidR="00664FCE" w:rsidRDefault="00664FCE">
            <w:pPr>
              <w:pStyle w:val="ConsPlusNormal"/>
              <w:jc w:val="center"/>
            </w:pPr>
            <w:r>
              <w:t>5</w:t>
            </w:r>
          </w:p>
        </w:tc>
      </w:tr>
      <w:tr w:rsidR="00664FCE">
        <w:tc>
          <w:tcPr>
            <w:tcW w:w="340" w:type="dxa"/>
            <w:vMerge w:val="restart"/>
            <w:vAlign w:val="center"/>
          </w:tcPr>
          <w:p w:rsidR="00664FCE" w:rsidRDefault="00664FCE">
            <w:pPr>
              <w:pStyle w:val="ConsPlusNormal"/>
              <w:jc w:val="both"/>
            </w:pPr>
            <w:r>
              <w:t>1</w:t>
            </w:r>
          </w:p>
        </w:tc>
        <w:tc>
          <w:tcPr>
            <w:tcW w:w="8675" w:type="dxa"/>
            <w:gridSpan w:val="4"/>
            <w:vAlign w:val="center"/>
          </w:tcPr>
          <w:p w:rsidR="00664FCE" w:rsidRDefault="00664FCE">
            <w:pPr>
              <w:pStyle w:val="ConsPlusNormal"/>
              <w:jc w:val="center"/>
            </w:pPr>
            <w:r>
              <w:t>ГУП ТО "Областное ДРСУ"</w:t>
            </w:r>
          </w:p>
        </w:tc>
      </w:tr>
      <w:tr w:rsidR="00664FCE">
        <w:tc>
          <w:tcPr>
            <w:tcW w:w="340" w:type="dxa"/>
            <w:vMerge/>
          </w:tcPr>
          <w:p w:rsidR="00664FCE" w:rsidRDefault="00664FCE">
            <w:pPr>
              <w:pStyle w:val="ConsPlusNormal"/>
            </w:pPr>
          </w:p>
        </w:tc>
        <w:tc>
          <w:tcPr>
            <w:tcW w:w="2269" w:type="dxa"/>
          </w:tcPr>
          <w:p w:rsidR="00664FCE" w:rsidRDefault="00664FCE">
            <w:pPr>
              <w:pStyle w:val="ConsPlusNormal"/>
              <w:jc w:val="both"/>
            </w:pPr>
            <w:r>
              <w:t xml:space="preserve">Обеспечивает реализацию полномочий органов государственной власти Томской области в сфере осуществления дорожной деятельности в отношении автомобильных дорог регионального, межмуниципального значения и обеспечения безопасности дорожного движения на них в соответствии с </w:t>
            </w:r>
            <w:hyperlink r:id="rId11">
              <w:r>
                <w:rPr>
                  <w:color w:val="0000FF"/>
                </w:rPr>
                <w:t>пп. 11 п. 2 ст. 26.3</w:t>
              </w:r>
            </w:hyperlink>
            <w:r>
              <w:t xml:space="preserve"> Федерального закона от 06.10.1999 N 184-ФЗ "Об общих принципах организации законодательных (представительных) и </w:t>
            </w:r>
            <w:r>
              <w:lastRenderedPageBreak/>
              <w:t xml:space="preserve">исполнительных органов государственной власти субъектов Российской Федерации" (далее - Закон N 184-ФЗ), </w:t>
            </w:r>
            <w:hyperlink r:id="rId12">
              <w:r>
                <w:rPr>
                  <w:color w:val="0000FF"/>
                </w:rPr>
                <w:t>п. 6 ст. 12</w:t>
              </w:r>
            </w:hyperlink>
            <w:r>
              <w:t xml:space="preserve"> Федерального закона от 08.11.2007 N 257-ФЗ "Об автомобильных дорогах и дорожной деятельности в Российской Федерации и о внесении изменений в отдельные законодательные акты Российской Федерации" (далее - Закон N 257-ФЗ). Является участником национального проекта "Безопасные и качественные автомобильные дороги", реализация которого осуществлялась в 2021 году</w:t>
            </w:r>
          </w:p>
        </w:tc>
        <w:tc>
          <w:tcPr>
            <w:tcW w:w="2154" w:type="dxa"/>
          </w:tcPr>
          <w:p w:rsidR="00664FCE" w:rsidRDefault="00664FCE">
            <w:pPr>
              <w:pStyle w:val="ConsPlusNormal"/>
              <w:jc w:val="both"/>
            </w:pPr>
            <w:r>
              <w:lastRenderedPageBreak/>
              <w:t>Удовлетворительная (чистый доход поступлений в областной бюджет имеет положительное значение, предприятием получена из областного бюджета субсидия в размере 2500 тыс. руб.,</w:t>
            </w:r>
          </w:p>
          <w:p w:rsidR="00664FCE" w:rsidRDefault="00664FCE">
            <w:pPr>
              <w:pStyle w:val="ConsPlusNormal"/>
              <w:jc w:val="both"/>
            </w:pPr>
            <w:r>
              <w:t>перечислено в областной бюджет налогов на общую сумму 75035 тыс. руб.)</w:t>
            </w:r>
          </w:p>
        </w:tc>
        <w:tc>
          <w:tcPr>
            <w:tcW w:w="1984" w:type="dxa"/>
          </w:tcPr>
          <w:p w:rsidR="00664FCE" w:rsidRDefault="00664FCE">
            <w:pPr>
              <w:pStyle w:val="ConsPlusNormal"/>
              <w:jc w:val="both"/>
            </w:pPr>
            <w:r>
              <w:t>Неудовлетворительная (чистая прибыль - 12688 тыс. руб.,</w:t>
            </w:r>
          </w:p>
          <w:p w:rsidR="00664FCE" w:rsidRDefault="00664FCE">
            <w:pPr>
              <w:pStyle w:val="ConsPlusNormal"/>
              <w:jc w:val="both"/>
            </w:pPr>
            <w:r>
              <w:t>стоимость чистых активов - 652253 тыс. руб.,</w:t>
            </w:r>
          </w:p>
          <w:p w:rsidR="00664FCE" w:rsidRDefault="00664FCE">
            <w:pPr>
              <w:pStyle w:val="ConsPlusNormal"/>
              <w:jc w:val="both"/>
            </w:pPr>
            <w:r>
              <w:t>коэффициент общей ликвидности - 0,8, коэффициент автономии - 0,33,</w:t>
            </w:r>
          </w:p>
          <w:p w:rsidR="00664FCE" w:rsidRDefault="00664FCE">
            <w:pPr>
              <w:pStyle w:val="ConsPlusNormal"/>
              <w:jc w:val="both"/>
            </w:pPr>
            <w:r>
              <w:t>рентабельность деятельности - 0,34%)</w:t>
            </w:r>
          </w:p>
        </w:tc>
        <w:tc>
          <w:tcPr>
            <w:tcW w:w="2268" w:type="dxa"/>
          </w:tcPr>
          <w:p w:rsidR="00664FCE" w:rsidRDefault="00664FCE">
            <w:pPr>
              <w:pStyle w:val="ConsPlusNormal"/>
              <w:jc w:val="both"/>
            </w:pPr>
            <w:r>
              <w:t>План по чистой прибыли за 2021 год перевыполнен на 27,4% (план - 46345 тыс. руб.). В 2020 году получена чистая прибыль в размере 69362 тыс. руб.</w:t>
            </w:r>
          </w:p>
          <w:p w:rsidR="00664FCE" w:rsidRDefault="00664FCE">
            <w:pPr>
              <w:pStyle w:val="ConsPlusNormal"/>
              <w:jc w:val="both"/>
            </w:pPr>
            <w:r>
              <w:t>Стоимость чистых активов превышает размер уставного фонда (176307 тыс. руб.) на 475946 тыс. руб. (в 3,7 раза).</w:t>
            </w:r>
          </w:p>
          <w:p w:rsidR="00664FCE" w:rsidRDefault="00664FCE">
            <w:pPr>
              <w:pStyle w:val="ConsPlusNormal"/>
              <w:jc w:val="both"/>
            </w:pPr>
            <w:r>
              <w:t>Значения показателей коэффициента общей ликвидности, коэффициента автономии ниже границ допустимой нормы.</w:t>
            </w:r>
          </w:p>
          <w:p w:rsidR="00664FCE" w:rsidRDefault="00664FCE">
            <w:pPr>
              <w:pStyle w:val="ConsPlusNormal"/>
              <w:jc w:val="both"/>
            </w:pPr>
            <w:r>
              <w:t xml:space="preserve">Рентабельность деятельности - 0,34%, что ниже уровня планового значения </w:t>
            </w:r>
            <w:r>
              <w:lastRenderedPageBreak/>
              <w:t>(1,6%).</w:t>
            </w:r>
          </w:p>
          <w:p w:rsidR="00664FCE" w:rsidRDefault="00664FCE">
            <w:pPr>
              <w:pStyle w:val="ConsPlusNormal"/>
              <w:jc w:val="both"/>
            </w:pPr>
            <w:r>
              <w:t>Показатели бюджетной эффективности предприятия имеют удовлетворительное значение, экономической - неудовлетворительное</w:t>
            </w:r>
          </w:p>
        </w:tc>
      </w:tr>
      <w:tr w:rsidR="00664FCE">
        <w:tc>
          <w:tcPr>
            <w:tcW w:w="340" w:type="dxa"/>
            <w:vMerge w:val="restart"/>
            <w:vAlign w:val="center"/>
          </w:tcPr>
          <w:p w:rsidR="00664FCE" w:rsidRDefault="00664FCE">
            <w:pPr>
              <w:pStyle w:val="ConsPlusNormal"/>
              <w:jc w:val="both"/>
            </w:pPr>
            <w:r>
              <w:lastRenderedPageBreak/>
              <w:t>2</w:t>
            </w:r>
          </w:p>
        </w:tc>
        <w:tc>
          <w:tcPr>
            <w:tcW w:w="8675" w:type="dxa"/>
            <w:gridSpan w:val="4"/>
            <w:vAlign w:val="center"/>
          </w:tcPr>
          <w:p w:rsidR="00664FCE" w:rsidRDefault="00664FCE">
            <w:pPr>
              <w:pStyle w:val="ConsPlusNormal"/>
              <w:jc w:val="center"/>
            </w:pPr>
            <w:r>
              <w:t>ОГУП "Кожевниковское ДРСУ"</w:t>
            </w:r>
          </w:p>
        </w:tc>
      </w:tr>
      <w:tr w:rsidR="00664FCE">
        <w:tc>
          <w:tcPr>
            <w:tcW w:w="340" w:type="dxa"/>
            <w:vMerge/>
          </w:tcPr>
          <w:p w:rsidR="00664FCE" w:rsidRDefault="00664FCE">
            <w:pPr>
              <w:pStyle w:val="ConsPlusNormal"/>
            </w:pPr>
          </w:p>
        </w:tc>
        <w:tc>
          <w:tcPr>
            <w:tcW w:w="2269" w:type="dxa"/>
          </w:tcPr>
          <w:p w:rsidR="00664FCE" w:rsidRDefault="00664FCE">
            <w:pPr>
              <w:pStyle w:val="ConsPlusNormal"/>
              <w:jc w:val="both"/>
            </w:pPr>
            <w:r>
              <w:t xml:space="preserve">Обеспечивает реализацию полномочий органов государственной власти Томской области в сфере осуществления дорожной деятельности в отношении автомобильных дорог регионального, межмуниципального значения и обеспечения безопасности дорожного движения на них в соответствии с </w:t>
            </w:r>
            <w:hyperlink r:id="rId13">
              <w:r>
                <w:rPr>
                  <w:color w:val="0000FF"/>
                </w:rPr>
                <w:t>пп. 11 п. 2 ст. 26.3</w:t>
              </w:r>
            </w:hyperlink>
            <w:r>
              <w:t xml:space="preserve"> Закона N 184-ФЗ, </w:t>
            </w:r>
            <w:hyperlink r:id="rId14">
              <w:r>
                <w:rPr>
                  <w:color w:val="0000FF"/>
                </w:rPr>
                <w:t xml:space="preserve">п. 6 </w:t>
              </w:r>
              <w:r>
                <w:rPr>
                  <w:color w:val="0000FF"/>
                </w:rPr>
                <w:lastRenderedPageBreak/>
                <w:t>ст. 12</w:t>
              </w:r>
            </w:hyperlink>
            <w:r>
              <w:t xml:space="preserve"> Закона N 257-ФЗ</w:t>
            </w:r>
          </w:p>
        </w:tc>
        <w:tc>
          <w:tcPr>
            <w:tcW w:w="2154" w:type="dxa"/>
          </w:tcPr>
          <w:p w:rsidR="00664FCE" w:rsidRDefault="00664FCE">
            <w:pPr>
              <w:pStyle w:val="ConsPlusNormal"/>
              <w:jc w:val="both"/>
            </w:pPr>
            <w:r>
              <w:lastRenderedPageBreak/>
              <w:t>Удовлетворительная (чистый доход поступлений в областной бюджет имеет положительное значение)</w:t>
            </w:r>
          </w:p>
        </w:tc>
        <w:tc>
          <w:tcPr>
            <w:tcW w:w="1984" w:type="dxa"/>
          </w:tcPr>
          <w:p w:rsidR="00664FCE" w:rsidRDefault="00664FCE">
            <w:pPr>
              <w:pStyle w:val="ConsPlusNormal"/>
              <w:jc w:val="both"/>
            </w:pPr>
            <w:r>
              <w:t>Удовлетворительная (чистая прибыль - 22063 тыс. руб.,</w:t>
            </w:r>
          </w:p>
          <w:p w:rsidR="00664FCE" w:rsidRDefault="00664FCE">
            <w:pPr>
              <w:pStyle w:val="ConsPlusNormal"/>
              <w:jc w:val="both"/>
            </w:pPr>
            <w:r>
              <w:t>стоимость чистых активов - 177774 тыс. руб.,</w:t>
            </w:r>
          </w:p>
          <w:p w:rsidR="00664FCE" w:rsidRDefault="00664FCE">
            <w:pPr>
              <w:pStyle w:val="ConsPlusNormal"/>
              <w:jc w:val="both"/>
            </w:pPr>
            <w:r>
              <w:t>коэффициент общей ликвидности - 5,34,</w:t>
            </w:r>
          </w:p>
          <w:p w:rsidR="00664FCE" w:rsidRDefault="00664FCE">
            <w:pPr>
              <w:pStyle w:val="ConsPlusNormal"/>
              <w:jc w:val="both"/>
            </w:pPr>
            <w:r>
              <w:t>коэффициент автономии - 0,89,</w:t>
            </w:r>
          </w:p>
          <w:p w:rsidR="00664FCE" w:rsidRDefault="00664FCE">
            <w:pPr>
              <w:pStyle w:val="ConsPlusNormal"/>
              <w:jc w:val="both"/>
            </w:pPr>
            <w:r>
              <w:t>рентабельность деятельности - 12,6%)</w:t>
            </w:r>
          </w:p>
        </w:tc>
        <w:tc>
          <w:tcPr>
            <w:tcW w:w="2268" w:type="dxa"/>
          </w:tcPr>
          <w:p w:rsidR="00664FCE" w:rsidRDefault="00664FCE">
            <w:pPr>
              <w:pStyle w:val="ConsPlusNormal"/>
              <w:jc w:val="both"/>
            </w:pPr>
            <w:r>
              <w:t>План по чистой прибыли за 2021 год перевыполнен в 2 раза (план - 10902 тыс. руб.). За 2020 год получена чистая прибыль в размере 17079 тыс. руб.</w:t>
            </w:r>
          </w:p>
          <w:p w:rsidR="00664FCE" w:rsidRDefault="00664FCE">
            <w:pPr>
              <w:pStyle w:val="ConsPlusNormal"/>
              <w:jc w:val="both"/>
            </w:pPr>
            <w:r>
              <w:t>Стоимость чистых активов превышает размер уставного фонда (52050 тыс. руб.) на 125724 тыс. руб. (в 3,4 раза).</w:t>
            </w:r>
          </w:p>
          <w:p w:rsidR="00664FCE" w:rsidRDefault="00664FCE">
            <w:pPr>
              <w:pStyle w:val="ConsPlusNormal"/>
              <w:jc w:val="both"/>
            </w:pPr>
            <w:r>
              <w:t>Фактическое значение показателя коэффициента автономии находится в пределах нормы.</w:t>
            </w:r>
          </w:p>
          <w:p w:rsidR="00664FCE" w:rsidRDefault="00664FCE">
            <w:pPr>
              <w:pStyle w:val="ConsPlusNormal"/>
              <w:jc w:val="both"/>
            </w:pPr>
            <w:r>
              <w:t xml:space="preserve">Фактическое значение </w:t>
            </w:r>
            <w:r>
              <w:lastRenderedPageBreak/>
              <w:t>коэффициента общей ликвидности превышает нормативное значение.</w:t>
            </w:r>
          </w:p>
          <w:p w:rsidR="00664FCE" w:rsidRDefault="00664FCE">
            <w:pPr>
              <w:pStyle w:val="ConsPlusNormal"/>
              <w:jc w:val="both"/>
            </w:pPr>
            <w:r>
              <w:t>Рентабельность деятельности - 12,6%, что выше утвержденного значения (7,8%).</w:t>
            </w:r>
          </w:p>
          <w:p w:rsidR="00664FCE" w:rsidRDefault="00664FCE">
            <w:pPr>
              <w:pStyle w:val="ConsPlusNormal"/>
              <w:jc w:val="both"/>
            </w:pPr>
            <w:r>
              <w:t>Показатели бюджетной и экономической эффективности имеют удовлетворительное значение</w:t>
            </w:r>
          </w:p>
        </w:tc>
      </w:tr>
      <w:tr w:rsidR="00664FCE">
        <w:tc>
          <w:tcPr>
            <w:tcW w:w="340" w:type="dxa"/>
            <w:vMerge w:val="restart"/>
            <w:vAlign w:val="center"/>
          </w:tcPr>
          <w:p w:rsidR="00664FCE" w:rsidRDefault="00664FCE">
            <w:pPr>
              <w:pStyle w:val="ConsPlusNormal"/>
              <w:jc w:val="both"/>
            </w:pPr>
            <w:r>
              <w:lastRenderedPageBreak/>
              <w:t>3</w:t>
            </w:r>
          </w:p>
        </w:tc>
        <w:tc>
          <w:tcPr>
            <w:tcW w:w="8675" w:type="dxa"/>
            <w:gridSpan w:val="4"/>
            <w:vAlign w:val="center"/>
          </w:tcPr>
          <w:p w:rsidR="00664FCE" w:rsidRDefault="00664FCE">
            <w:pPr>
              <w:pStyle w:val="ConsPlusNormal"/>
              <w:jc w:val="center"/>
            </w:pPr>
            <w:r>
              <w:t>ОГУП "Областной аптечный склад"</w:t>
            </w:r>
          </w:p>
        </w:tc>
      </w:tr>
      <w:tr w:rsidR="00664FCE">
        <w:tc>
          <w:tcPr>
            <w:tcW w:w="340" w:type="dxa"/>
            <w:vMerge/>
          </w:tcPr>
          <w:p w:rsidR="00664FCE" w:rsidRDefault="00664FCE">
            <w:pPr>
              <w:pStyle w:val="ConsPlusNormal"/>
            </w:pPr>
          </w:p>
        </w:tc>
        <w:tc>
          <w:tcPr>
            <w:tcW w:w="2269" w:type="dxa"/>
          </w:tcPr>
          <w:p w:rsidR="00664FCE" w:rsidRDefault="00664FCE">
            <w:pPr>
              <w:pStyle w:val="ConsPlusNormal"/>
              <w:jc w:val="both"/>
            </w:pPr>
            <w:r>
              <w:t xml:space="preserve">Осуществляет деятельность в соответствии с </w:t>
            </w:r>
            <w:hyperlink r:id="rId15">
              <w:r>
                <w:rPr>
                  <w:color w:val="0000FF"/>
                </w:rPr>
                <w:t>пп. 1</w:t>
              </w:r>
            </w:hyperlink>
            <w:r>
              <w:t xml:space="preserve">, </w:t>
            </w:r>
            <w:hyperlink r:id="rId16">
              <w:r>
                <w:rPr>
                  <w:color w:val="0000FF"/>
                </w:rPr>
                <w:t>2 статьи 5</w:t>
              </w:r>
            </w:hyperlink>
            <w:r>
              <w:t xml:space="preserve"> Федерального закона от 08.01.1998 N 3-ФЗ "О наркотических средствах и психотропных веществах", которая может выполняться только государственными унитарными предприятиями и государственными учреждениями</w:t>
            </w:r>
          </w:p>
        </w:tc>
        <w:tc>
          <w:tcPr>
            <w:tcW w:w="2154" w:type="dxa"/>
          </w:tcPr>
          <w:p w:rsidR="00664FCE" w:rsidRDefault="00664FCE">
            <w:pPr>
              <w:pStyle w:val="ConsPlusNormal"/>
              <w:jc w:val="both"/>
            </w:pPr>
            <w:r>
              <w:t>Удовлетворительная (чистый доход поступлений в областной бюджет имеет положительное значение)</w:t>
            </w:r>
          </w:p>
        </w:tc>
        <w:tc>
          <w:tcPr>
            <w:tcW w:w="1984" w:type="dxa"/>
          </w:tcPr>
          <w:p w:rsidR="00664FCE" w:rsidRDefault="00664FCE">
            <w:pPr>
              <w:pStyle w:val="ConsPlusNormal"/>
              <w:jc w:val="both"/>
            </w:pPr>
            <w:r>
              <w:t>Неудовлетворительная (чистая прибыль - 5556 тыс. руб.,</w:t>
            </w:r>
          </w:p>
          <w:p w:rsidR="00664FCE" w:rsidRDefault="00664FCE">
            <w:pPr>
              <w:pStyle w:val="ConsPlusNormal"/>
              <w:jc w:val="both"/>
            </w:pPr>
            <w:r>
              <w:t>стоимость чистых активов - 39008 тыс. руб., коэффициент общей ликвидности - 1,17, коэффициент автономии - 0,36, рентабельность деятельности - 0,97%)</w:t>
            </w:r>
          </w:p>
        </w:tc>
        <w:tc>
          <w:tcPr>
            <w:tcW w:w="2268" w:type="dxa"/>
          </w:tcPr>
          <w:p w:rsidR="00664FCE" w:rsidRDefault="00664FCE">
            <w:pPr>
              <w:pStyle w:val="ConsPlusNormal"/>
              <w:jc w:val="both"/>
            </w:pPr>
            <w:r>
              <w:t>План по чистой прибыли за 2021 год предприятием перевыполнен в 2,4 раза (план - 2306 тыс. руб.). За 2020 год получена чистая прибыль в размере 8610 тыс. руб.</w:t>
            </w:r>
          </w:p>
          <w:p w:rsidR="00664FCE" w:rsidRDefault="00664FCE">
            <w:pPr>
              <w:pStyle w:val="ConsPlusNormal"/>
              <w:jc w:val="both"/>
            </w:pPr>
            <w:r>
              <w:t>Стоимость чистых активов превышает размер уставного фонда (8382 тыс. руб.) на 30626 тыс. руб. (в 4,7 раза).</w:t>
            </w:r>
          </w:p>
          <w:p w:rsidR="00664FCE" w:rsidRDefault="00664FCE">
            <w:pPr>
              <w:pStyle w:val="ConsPlusNormal"/>
              <w:jc w:val="both"/>
            </w:pPr>
            <w:r>
              <w:t>Значение коэффициента общей ликвидности находится в пределах допустимого значения.</w:t>
            </w:r>
          </w:p>
          <w:p w:rsidR="00664FCE" w:rsidRDefault="00664FCE">
            <w:pPr>
              <w:pStyle w:val="ConsPlusNormal"/>
              <w:jc w:val="both"/>
            </w:pPr>
            <w:r>
              <w:t>Значение коэффициента автономии ниже нормативного значения.</w:t>
            </w:r>
          </w:p>
          <w:p w:rsidR="00664FCE" w:rsidRDefault="00664FCE">
            <w:pPr>
              <w:pStyle w:val="ConsPlusNormal"/>
              <w:jc w:val="both"/>
            </w:pPr>
            <w:r>
              <w:t>Фактическое значение показателя рентабельности деятельности (0,97%) превышает плановый уровень (0,42%).</w:t>
            </w:r>
          </w:p>
          <w:p w:rsidR="00664FCE" w:rsidRDefault="00664FCE">
            <w:pPr>
              <w:pStyle w:val="ConsPlusNormal"/>
              <w:jc w:val="both"/>
            </w:pPr>
            <w:r>
              <w:t xml:space="preserve">Показатели бюджетной </w:t>
            </w:r>
            <w:r>
              <w:lastRenderedPageBreak/>
              <w:t>эффективности имеет удовлетворительное значение, экономической эффективности - неудовлетворительное</w:t>
            </w:r>
          </w:p>
        </w:tc>
      </w:tr>
      <w:tr w:rsidR="00664FCE">
        <w:tc>
          <w:tcPr>
            <w:tcW w:w="340" w:type="dxa"/>
            <w:vMerge w:val="restart"/>
            <w:vAlign w:val="center"/>
          </w:tcPr>
          <w:p w:rsidR="00664FCE" w:rsidRDefault="00664FCE">
            <w:pPr>
              <w:pStyle w:val="ConsPlusNormal"/>
              <w:jc w:val="both"/>
            </w:pPr>
            <w:r>
              <w:lastRenderedPageBreak/>
              <w:t>4</w:t>
            </w:r>
          </w:p>
        </w:tc>
        <w:tc>
          <w:tcPr>
            <w:tcW w:w="8675" w:type="dxa"/>
            <w:gridSpan w:val="4"/>
          </w:tcPr>
          <w:p w:rsidR="00664FCE" w:rsidRDefault="00664FCE">
            <w:pPr>
              <w:pStyle w:val="ConsPlusNormal"/>
              <w:jc w:val="center"/>
            </w:pPr>
            <w:r>
              <w:t>ОГУП "Бакчарское"</w:t>
            </w:r>
          </w:p>
        </w:tc>
      </w:tr>
      <w:tr w:rsidR="00664FCE">
        <w:tc>
          <w:tcPr>
            <w:tcW w:w="340" w:type="dxa"/>
            <w:vMerge/>
          </w:tcPr>
          <w:p w:rsidR="00664FCE" w:rsidRDefault="00664FCE">
            <w:pPr>
              <w:pStyle w:val="ConsPlusNormal"/>
            </w:pPr>
          </w:p>
        </w:tc>
        <w:tc>
          <w:tcPr>
            <w:tcW w:w="2269" w:type="dxa"/>
          </w:tcPr>
          <w:p w:rsidR="00664FCE" w:rsidRDefault="00664FCE">
            <w:pPr>
              <w:pStyle w:val="ConsPlusNormal"/>
              <w:jc w:val="both"/>
            </w:pPr>
            <w:r>
              <w:t xml:space="preserve">Осуществляет деятельность в соответствии с </w:t>
            </w:r>
            <w:hyperlink r:id="rId17">
              <w:r>
                <w:rPr>
                  <w:color w:val="0000FF"/>
                </w:rPr>
                <w:t>п.п. 9 п. 2 ст. 26.3</w:t>
              </w:r>
            </w:hyperlink>
            <w:r>
              <w:t xml:space="preserve"> Закона N 184-ФЗ, деятельность направлена на выращивание плодовых и ягодных культур, на научное исследование и разработку в области естественных и технических наук (в целях развития основной деятельности).</w:t>
            </w:r>
          </w:p>
          <w:p w:rsidR="00664FCE" w:rsidRDefault="00664FCE">
            <w:pPr>
              <w:pStyle w:val="ConsPlusNormal"/>
              <w:jc w:val="both"/>
            </w:pPr>
            <w:r>
              <w:t xml:space="preserve">Участвует в решении задач и реализации мероприятий государственных программ Томской области, утвержденных в соответствии с </w:t>
            </w:r>
            <w:hyperlink r:id="rId18">
              <w:r>
                <w:rPr>
                  <w:color w:val="0000FF"/>
                </w:rPr>
                <w:t>Законом</w:t>
              </w:r>
            </w:hyperlink>
            <w:r>
              <w:t xml:space="preserve"> Томской области от 12.03.2015 N 24-ОЗ "О стратегическом планировании в Томской области"</w:t>
            </w:r>
          </w:p>
        </w:tc>
        <w:tc>
          <w:tcPr>
            <w:tcW w:w="2154" w:type="dxa"/>
          </w:tcPr>
          <w:p w:rsidR="00664FCE" w:rsidRDefault="00664FCE">
            <w:pPr>
              <w:pStyle w:val="ConsPlusNormal"/>
              <w:jc w:val="both"/>
            </w:pPr>
            <w:r>
              <w:t>Удовлетворительная чистый доход поступлений в областной бюджет имеет положительное значение), предприятием получена из областного бюджета субсидия в размере 6667,2 тыс. руб., направленная на государственную поддержку сельскохозяйственного производителя,</w:t>
            </w:r>
          </w:p>
          <w:p w:rsidR="00664FCE" w:rsidRDefault="00664FCE">
            <w:pPr>
              <w:pStyle w:val="ConsPlusNormal"/>
              <w:jc w:val="both"/>
            </w:pPr>
            <w:r>
              <w:t>перечислено в областной бюджет налогов на общую сумму 3633 тыс. руб.</w:t>
            </w:r>
          </w:p>
        </w:tc>
        <w:tc>
          <w:tcPr>
            <w:tcW w:w="1984" w:type="dxa"/>
          </w:tcPr>
          <w:p w:rsidR="00664FCE" w:rsidRDefault="00664FCE">
            <w:pPr>
              <w:pStyle w:val="ConsPlusNormal"/>
              <w:jc w:val="both"/>
            </w:pPr>
            <w:r>
              <w:t>Неудовлетворительная (чистая прибыль - 8039 тыс. руб., стоимость чистых активов - 41699 тыс. руб., коэффициент общей ликвидности - 1,11, коэффициент автономии - 0,72, рентабельность деятельности - 18,2%, что ниже планового значения - 18,6%)</w:t>
            </w:r>
          </w:p>
        </w:tc>
        <w:tc>
          <w:tcPr>
            <w:tcW w:w="2268" w:type="dxa"/>
          </w:tcPr>
          <w:p w:rsidR="00664FCE" w:rsidRDefault="00664FCE">
            <w:pPr>
              <w:pStyle w:val="ConsPlusNormal"/>
              <w:jc w:val="both"/>
            </w:pPr>
            <w:r>
              <w:t>План по чистой прибыли за 2021 год предприятием выполнен на 106,4% (план - 7559 тыс. руб.). За 2020 год получена чистая прибыль в размере 6487 тыс. руб.</w:t>
            </w:r>
          </w:p>
          <w:p w:rsidR="00664FCE" w:rsidRDefault="00664FCE">
            <w:pPr>
              <w:pStyle w:val="ConsPlusNormal"/>
              <w:jc w:val="both"/>
            </w:pPr>
            <w:r>
              <w:t>Стоимость чистых активов превышает размер уставного фонда (15000 тыс. руб.) на 26699 тыс. руб. (в 2,8 раза).</w:t>
            </w:r>
          </w:p>
          <w:p w:rsidR="00664FCE" w:rsidRDefault="00664FCE">
            <w:pPr>
              <w:pStyle w:val="ConsPlusNormal"/>
              <w:jc w:val="both"/>
            </w:pPr>
            <w:r>
              <w:t>Значение коэффициента общей ликвидности и коэффициента автономии находятся в пределах допустимых значений.</w:t>
            </w:r>
          </w:p>
          <w:p w:rsidR="00664FCE" w:rsidRDefault="00664FCE">
            <w:pPr>
              <w:pStyle w:val="ConsPlusNormal"/>
              <w:jc w:val="both"/>
            </w:pPr>
            <w:r>
              <w:t>Фактическое значение показателя рентабельности деятельности (18,2%) ниже планового уровня (18,6%).</w:t>
            </w:r>
          </w:p>
          <w:p w:rsidR="00664FCE" w:rsidRDefault="00664FCE">
            <w:pPr>
              <w:pStyle w:val="ConsPlusNormal"/>
              <w:jc w:val="both"/>
            </w:pPr>
            <w:r>
              <w:t>Показатели бюджетной эффективности имеет удовлетворительное значение, экономической эффективности - неудовлетворительное</w:t>
            </w:r>
          </w:p>
        </w:tc>
      </w:tr>
      <w:tr w:rsidR="00664FCE">
        <w:tc>
          <w:tcPr>
            <w:tcW w:w="340" w:type="dxa"/>
            <w:vMerge w:val="restart"/>
            <w:vAlign w:val="center"/>
          </w:tcPr>
          <w:p w:rsidR="00664FCE" w:rsidRDefault="00664FCE">
            <w:pPr>
              <w:pStyle w:val="ConsPlusNormal"/>
              <w:jc w:val="both"/>
            </w:pPr>
            <w:r>
              <w:t>5</w:t>
            </w:r>
          </w:p>
        </w:tc>
        <w:tc>
          <w:tcPr>
            <w:tcW w:w="8675" w:type="dxa"/>
            <w:gridSpan w:val="4"/>
          </w:tcPr>
          <w:p w:rsidR="00664FCE" w:rsidRDefault="00664FCE">
            <w:pPr>
              <w:pStyle w:val="ConsPlusNormal"/>
              <w:jc w:val="center"/>
            </w:pPr>
            <w:r>
              <w:t>ОГУП "Первомайское ДРСУ"</w:t>
            </w:r>
          </w:p>
        </w:tc>
      </w:tr>
      <w:tr w:rsidR="00664FCE">
        <w:tc>
          <w:tcPr>
            <w:tcW w:w="340" w:type="dxa"/>
            <w:vMerge/>
          </w:tcPr>
          <w:p w:rsidR="00664FCE" w:rsidRDefault="00664FCE">
            <w:pPr>
              <w:pStyle w:val="ConsPlusNormal"/>
            </w:pPr>
          </w:p>
        </w:tc>
        <w:tc>
          <w:tcPr>
            <w:tcW w:w="8675" w:type="dxa"/>
            <w:gridSpan w:val="4"/>
          </w:tcPr>
          <w:p w:rsidR="00664FCE" w:rsidRDefault="00664FCE">
            <w:pPr>
              <w:pStyle w:val="ConsPlusNormal"/>
              <w:jc w:val="both"/>
            </w:pPr>
            <w:r>
              <w:t>В марте 2022 года в отношении ОГУП "Первомайское ДРСУ" завершена процедура банкротства,</w:t>
            </w:r>
          </w:p>
          <w:p w:rsidR="00664FCE" w:rsidRDefault="00664FCE">
            <w:pPr>
              <w:pStyle w:val="ConsPlusNormal"/>
              <w:jc w:val="both"/>
            </w:pPr>
            <w:r>
              <w:t>в 2021 году предприятие не осуществляло хозяйственную деятельность</w:t>
            </w:r>
          </w:p>
        </w:tc>
      </w:tr>
    </w:tbl>
    <w:p w:rsidR="00664FCE" w:rsidRDefault="00664FCE">
      <w:pPr>
        <w:pStyle w:val="ConsPlusNormal"/>
        <w:jc w:val="both"/>
      </w:pPr>
    </w:p>
    <w:p w:rsidR="00664FCE" w:rsidRDefault="00664FCE">
      <w:pPr>
        <w:pStyle w:val="ConsPlusNormal"/>
        <w:ind w:firstLine="540"/>
        <w:jc w:val="both"/>
      </w:pPr>
      <w:r>
        <w:t>--------------------------------</w:t>
      </w:r>
    </w:p>
    <w:p w:rsidR="00664FCE" w:rsidRDefault="00664FCE">
      <w:pPr>
        <w:pStyle w:val="ConsPlusNormal"/>
        <w:spacing w:before="220"/>
        <w:ind w:firstLine="540"/>
        <w:jc w:val="both"/>
      </w:pPr>
      <w:r>
        <w:lastRenderedPageBreak/>
        <w:t>&lt;*&gt; В целях признания экономической эффективности деятельности унитарного предприятия удовлетворительной фактическое значение коэффициента его текущей ликвидности должно находиться в диапазоне значений от 1 до 2, фактическое значение коэффициента автономии (финансовой независимости) должно быть больше или равно 0,5</w:t>
      </w:r>
    </w:p>
    <w:p w:rsidR="00664FCE" w:rsidRDefault="00664FCE">
      <w:pPr>
        <w:pStyle w:val="ConsPlusNormal"/>
        <w:jc w:val="both"/>
      </w:pPr>
    </w:p>
    <w:p w:rsidR="00664FCE" w:rsidRDefault="00664FCE">
      <w:pPr>
        <w:pStyle w:val="ConsPlusNormal"/>
        <w:jc w:val="both"/>
      </w:pPr>
    </w:p>
    <w:p w:rsidR="00664FCE" w:rsidRDefault="00664FCE">
      <w:pPr>
        <w:pStyle w:val="ConsPlusNormal"/>
        <w:pBdr>
          <w:bottom w:val="single" w:sz="6" w:space="0" w:color="auto"/>
        </w:pBdr>
        <w:spacing w:before="100" w:after="100"/>
        <w:jc w:val="both"/>
        <w:rPr>
          <w:sz w:val="2"/>
          <w:szCs w:val="2"/>
        </w:rPr>
      </w:pPr>
    </w:p>
    <w:p w:rsidR="00CD3020" w:rsidRDefault="00CD3020">
      <w:bookmarkStart w:id="5" w:name="_GoBack"/>
      <w:bookmarkEnd w:id="5"/>
    </w:p>
    <w:sectPr w:rsidR="00CD3020">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FCE"/>
    <w:rsid w:val="00664FCE"/>
    <w:rsid w:val="00CD30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3AC689-0E7C-43E2-A11E-901FBA34A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64FCE"/>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664FCE"/>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664FCE"/>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75653B74BD9A55C5D066CC2590325B8867655FEFE05DD8FF9B7F3EE5A5E931F7817ED52C14D96856C33CFFDF7762B9804B5D16D1C49GEK" TargetMode="External"/><Relationship Id="rId13" Type="http://schemas.openxmlformats.org/officeDocument/2006/relationships/hyperlink" Target="consultantplus://offline/ref=875653B74BD9A55C5D066CC2590325B8817151F9FE0CDD8FF9B7F3EE5A5E931F7817ED54CC4E96856C33CFFDF7762B9804B5D16D1C49GEK" TargetMode="External"/><Relationship Id="rId18" Type="http://schemas.openxmlformats.org/officeDocument/2006/relationships/hyperlink" Target="consultantplus://offline/ref=875653B74BD9A55C5D0672CF4F6F7BBC847A0BF0FC03D4DCA7E7F5B9050E954A3857EB05990DC8DC3D7684F0FE6937980F4AG8K" TargetMode="External"/><Relationship Id="rId3" Type="http://schemas.openxmlformats.org/officeDocument/2006/relationships/webSettings" Target="webSettings.xml"/><Relationship Id="rId7" Type="http://schemas.openxmlformats.org/officeDocument/2006/relationships/hyperlink" Target="consultantplus://offline/ref=875653B74BD9A55C5D0672CF4F6F7BBC847A0BF0FC03D6DFA2E0F5B9050E954A3857EB058B0D90D03D779AF0FF7C61C949FEDE6D1F833852C0A6D44041G1K" TargetMode="External"/><Relationship Id="rId12" Type="http://schemas.openxmlformats.org/officeDocument/2006/relationships/hyperlink" Target="consultantplus://offline/ref=875653B74BD9A55C5D066CC2590325B8817051FAF90DDD8FF9B7F3EE5A5E931F7817ED50C8499CD63F7CCEA1B32238980CB5D364009F38594DGDK" TargetMode="External"/><Relationship Id="rId17" Type="http://schemas.openxmlformats.org/officeDocument/2006/relationships/hyperlink" Target="consultantplus://offline/ref=875653B74BD9A55C5D066CC2590325B8817151F9FE0CDD8FF9B7F3EE5A5E931F7817ED52C14096856C33CFFDF7762B9804B5D16D1C49GEK" TargetMode="External"/><Relationship Id="rId2" Type="http://schemas.openxmlformats.org/officeDocument/2006/relationships/settings" Target="settings.xml"/><Relationship Id="rId16" Type="http://schemas.openxmlformats.org/officeDocument/2006/relationships/hyperlink" Target="consultantplus://offline/ref=875653B74BD9A55C5D066CC2590325B8867655FEFE05DD8FF9B7F3EE5A5E931F7817ED52C14C96856C33CFFDF7762B9804B5D16D1C49GEK"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875653B74BD9A55C5D066CC2590325B8867554FAFA02DD8FF9B7F3EE5A5E931F6A17B55CC84883D1346998F0F547G4K" TargetMode="External"/><Relationship Id="rId11" Type="http://schemas.openxmlformats.org/officeDocument/2006/relationships/hyperlink" Target="consultantplus://offline/ref=875653B74BD9A55C5D066CC2590325B8817151F9FE0CDD8FF9B7F3EE5A5E931F7817ED54CC4E96856C33CFFDF7762B9804B5D16D1C49GEK" TargetMode="External"/><Relationship Id="rId5" Type="http://schemas.openxmlformats.org/officeDocument/2006/relationships/hyperlink" Target="consultantplus://offline/ref=875653B74BD9A55C5D0672CF4F6F7BBC847A0BF0FC03D5DFA2E2F5B9050E954A3857EB058B0D90D03D779AF1F57C61C949FEDE6D1F833852C0A6D44041G1K" TargetMode="External"/><Relationship Id="rId15" Type="http://schemas.openxmlformats.org/officeDocument/2006/relationships/hyperlink" Target="consultantplus://offline/ref=875653B74BD9A55C5D066CC2590325B8867655FEFE05DD8FF9B7F3EE5A5E931F7817ED52C14D96856C33CFFDF7762B9804B5D16D1C49GEK" TargetMode="External"/><Relationship Id="rId10" Type="http://schemas.openxmlformats.org/officeDocument/2006/relationships/hyperlink" Target="consultantplus://offline/ref=875653B74BD9A55C5D066CC2590325B881705CFFFC0DDD8FF9B7F3EE5A5E931F7817ED58CB4196856C33CFFDF7762B9804B5D16D1C49GEK" TargetMode="External"/><Relationship Id="rId19" Type="http://schemas.openxmlformats.org/officeDocument/2006/relationships/fontTable" Target="fontTable.xml"/><Relationship Id="rId4" Type="http://schemas.openxmlformats.org/officeDocument/2006/relationships/hyperlink" Target="https://www.consultant.ru" TargetMode="External"/><Relationship Id="rId9" Type="http://schemas.openxmlformats.org/officeDocument/2006/relationships/hyperlink" Target="consultantplus://offline/ref=875653B74BD9A55C5D066CC2590325B8867655FEFE05DD8FF9B7F3EE5A5E931F7817ED52C14C96856C33CFFDF7762B9804B5D16D1C49GEK" TargetMode="External"/><Relationship Id="rId14" Type="http://schemas.openxmlformats.org/officeDocument/2006/relationships/hyperlink" Target="consultantplus://offline/ref=875653B74BD9A55C5D066CC2590325B8817051FAF90DDD8FF9B7F3EE5A5E931F7817ED50C8499CD63F7CCEA1B32238980CB5D364009F38594DGD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9049</Words>
  <Characters>51585</Characters>
  <Application>Microsoft Office Word</Application>
  <DocSecurity>0</DocSecurity>
  <Lines>429</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Шабанова Ольга Ивановна</dc:creator>
  <cp:keywords/>
  <dc:description/>
  <cp:lastModifiedBy>Шабанова Ольга Ивановна</cp:lastModifiedBy>
  <cp:revision>1</cp:revision>
  <dcterms:created xsi:type="dcterms:W3CDTF">2023-09-01T10:06:00Z</dcterms:created>
  <dcterms:modified xsi:type="dcterms:W3CDTF">2023-09-01T10:08:00Z</dcterms:modified>
</cp:coreProperties>
</file>