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82"/>
        <w:ind w:left="-108" w:right="-108"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46430" cy="609600"/>
                <wp:effectExtent l="0" t="0" r="127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46430" cy="6096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0pt;height:48.00pt;mso-wrap-distance-left:0.00pt;mso-wrap-distance-top:0.00pt;mso-wrap-distance-right:0.00pt;mso-wrap-distance-bottom:0.0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ascii="PT Astra Serif" w:hAnsi="PT Astra Serif"/>
          <w:sz w:val="30"/>
          <w:szCs w:val="30"/>
        </w:rPr>
      </w:r>
      <w:r>
        <w:rPr>
          <w:rFonts w:ascii="PT Astra Serif" w:hAnsi="PT Astra Serif"/>
          <w:sz w:val="30"/>
          <w:szCs w:val="30"/>
        </w:rPr>
      </w:r>
    </w:p>
    <w:p>
      <w:pPr>
        <w:pStyle w:val="882"/>
        <w:ind w:left="-108" w:right="-108"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</w:r>
      <w:r>
        <w:rPr>
          <w:rFonts w:ascii="PT Astra Serif" w:hAnsi="PT Astra Serif"/>
          <w:sz w:val="30"/>
          <w:szCs w:val="30"/>
        </w:rPr>
      </w:r>
      <w:r>
        <w:rPr>
          <w:rFonts w:ascii="PT Astra Serif" w:hAnsi="PT Astra Serif"/>
          <w:sz w:val="30"/>
          <w:szCs w:val="30"/>
        </w:rPr>
      </w:r>
    </w:p>
    <w:p>
      <w:pPr>
        <w:pStyle w:val="882"/>
        <w:ind w:left="-108" w:right="-108"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 xml:space="preserve">ДЕПАРТАМЕНТ</w:t>
      </w:r>
      <w:r>
        <w:rPr>
          <w:rFonts w:ascii="PT Astra Serif" w:hAnsi="PT Astra Serif"/>
          <w:sz w:val="30"/>
          <w:szCs w:val="30"/>
        </w:rPr>
        <w:br/>
        <w:t xml:space="preserve">ПО УПРАВЛЕНИЮ ГОСУДАРСТВЕННОЙ СОБСТВЕННОСТЬЮ </w:t>
      </w:r>
      <w:r>
        <w:rPr>
          <w:rFonts w:ascii="PT Astra Serif" w:hAnsi="PT Astra Serif"/>
          <w:sz w:val="30"/>
          <w:szCs w:val="30"/>
        </w:rPr>
      </w:r>
      <w:r>
        <w:rPr>
          <w:rFonts w:ascii="PT Astra Serif" w:hAnsi="PT Astra Serif"/>
          <w:sz w:val="30"/>
          <w:szCs w:val="30"/>
        </w:rPr>
      </w:r>
    </w:p>
    <w:p>
      <w:pPr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 xml:space="preserve">ТОМСКОЙ ОБЛАСТИ</w:t>
      </w:r>
      <w:r>
        <w:rPr>
          <w:rFonts w:ascii="PT Astra Serif" w:hAnsi="PT Astra Serif"/>
          <w:b/>
          <w:sz w:val="30"/>
          <w:szCs w:val="30"/>
        </w:rPr>
      </w:r>
      <w:r>
        <w:rPr>
          <w:rFonts w:ascii="PT Astra Serif" w:hAnsi="PT Astra Serif"/>
          <w:b/>
          <w:sz w:val="30"/>
          <w:szCs w:val="30"/>
        </w:rPr>
      </w:r>
    </w:p>
    <w:p>
      <w:pPr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</w:r>
      <w:r>
        <w:rPr>
          <w:rFonts w:ascii="PT Astra Serif" w:hAnsi="PT Astra Serif"/>
          <w:b/>
          <w:sz w:val="30"/>
          <w:szCs w:val="30"/>
        </w:rPr>
      </w:r>
      <w:r>
        <w:rPr>
          <w:rFonts w:ascii="PT Astra Serif" w:hAnsi="PT Astra Serif"/>
          <w:b/>
          <w:sz w:val="30"/>
          <w:szCs w:val="30"/>
        </w:rPr>
      </w:r>
    </w:p>
    <w:p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РАСПОРЯЖЕНИЕ</w:t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spacing w:before="480" w:after="480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</w:rPr>
        <w:t xml:space="preserve">____________   </w:t>
      </w:r>
      <w:r>
        <w:rPr>
          <w:rFonts w:ascii="PT Astra Serif" w:hAnsi="PT Astra Serif"/>
          <w:sz w:val="26"/>
          <w:szCs w:val="26"/>
          <w:highlight w:val="white"/>
        </w:rPr>
        <w:tab/>
        <w:t xml:space="preserve">                                                                                                          № ______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ind w:firstLine="540"/>
        <w:jc w:val="center"/>
        <w:spacing w:before="480" w:after="480"/>
        <w:widowControl/>
        <w:rPr>
          <w:rFonts w:ascii="PT Astra Serif" w:hAnsi="PT Astra Serif" w:eastAsiaTheme="minorHAnsi"/>
          <w:sz w:val="25"/>
          <w:szCs w:val="25"/>
          <w:highlight w:val="white"/>
        </w:rPr>
      </w:pPr>
      <w:r>
        <w:rPr>
          <w:rFonts w:ascii="PT Astra Serif" w:hAnsi="PT Astra Serif" w:eastAsiaTheme="minorHAnsi"/>
          <w:sz w:val="25"/>
          <w:szCs w:val="25"/>
          <w:highlight w:val="white"/>
          <w:lang w:eastAsia="en-US"/>
        </w:rPr>
        <w:t xml:space="preserve">О внесении изменений в распоряжение Департамента по управлению государственной собственностью Томской области от 04.03.2024 № 18-о</w:t>
      </w:r>
      <w:r>
        <w:rPr>
          <w:rFonts w:ascii="PT Astra Serif" w:hAnsi="PT Astra Serif" w:eastAsiaTheme="minorHAnsi"/>
          <w:sz w:val="25"/>
          <w:szCs w:val="25"/>
          <w:highlight w:val="white"/>
        </w:rPr>
      </w:r>
      <w:r>
        <w:rPr>
          <w:rFonts w:ascii="PT Astra Serif" w:hAnsi="PT Astra Serif" w:eastAsiaTheme="minorHAnsi"/>
          <w:sz w:val="25"/>
          <w:szCs w:val="25"/>
          <w:highlight w:val="white"/>
        </w:rPr>
      </w:r>
    </w:p>
    <w:p>
      <w:pPr>
        <w:pStyle w:val="886"/>
        <w:numPr>
          <w:ilvl w:val="0"/>
          <w:numId w:val="1"/>
        </w:numPr>
        <w:ind w:left="0" w:firstLine="709"/>
        <w:jc w:val="both"/>
        <w:widowControl/>
        <w:rPr>
          <w:rFonts w:ascii="PT Astra Serif" w:hAnsi="PT Astra Serif" w:eastAsiaTheme="minorHAnsi"/>
          <w:sz w:val="25"/>
          <w:szCs w:val="25"/>
          <w:highlight w:val="white"/>
        </w:rPr>
      </w:pPr>
      <w:r>
        <w:rPr>
          <w:rFonts w:ascii="PT Astra Serif" w:hAnsi="PT Astra Serif" w:eastAsiaTheme="minorHAnsi"/>
          <w:sz w:val="25"/>
          <w:szCs w:val="25"/>
          <w:highlight w:val="white"/>
          <w:lang w:eastAsia="en-US"/>
        </w:rPr>
        <w:t xml:space="preserve">Внести в распоряжение Департамента по управлению государственной собственностью Томской области от 04.03.2024 № 18-о «Об утверждении паспортов комплексов процессных мероприятий следующие изменения</w:t>
      </w:r>
      <w:r>
        <w:rPr>
          <w:rFonts w:ascii="PT Astra Serif" w:hAnsi="PT Astra Serif"/>
          <w:sz w:val="25"/>
          <w:szCs w:val="25"/>
          <w:highlight w:val="white"/>
        </w:rPr>
        <w:t xml:space="preserve">:</w:t>
      </w:r>
      <w:r>
        <w:rPr>
          <w:rFonts w:ascii="PT Astra Serif" w:hAnsi="PT Astra Serif" w:eastAsiaTheme="minorHAnsi"/>
          <w:sz w:val="25"/>
          <w:szCs w:val="25"/>
          <w:highlight w:val="white"/>
        </w:rPr>
      </w:r>
      <w:r>
        <w:rPr>
          <w:rFonts w:ascii="PT Astra Serif" w:hAnsi="PT Astra Serif" w:eastAsiaTheme="minorHAnsi"/>
          <w:sz w:val="25"/>
          <w:szCs w:val="25"/>
          <w:highlight w:val="white"/>
        </w:rPr>
      </w:r>
    </w:p>
    <w:p>
      <w:pPr>
        <w:pStyle w:val="886"/>
        <w:numPr>
          <w:ilvl w:val="0"/>
          <w:numId w:val="3"/>
        </w:numPr>
        <w:ind w:left="0" w:firstLine="709"/>
        <w:jc w:val="both"/>
        <w:tabs>
          <w:tab w:val="left" w:pos="1134" w:leader="none"/>
        </w:tabs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none"/>
        </w:rPr>
        <w:t xml:space="preserve">паспорт комплекса процессных мероприятий </w:t>
      </w:r>
      <w:r>
        <w:rPr>
          <w:rFonts w:ascii="PT Astra Serif" w:hAnsi="PT Astra Serif"/>
          <w:sz w:val="25"/>
          <w:szCs w:val="25"/>
          <w:highlight w:val="none"/>
        </w:rPr>
        <w:t xml:space="preserve">«Рациональное использование государственного имущества Томской области»</w:t>
      </w:r>
      <w:r>
        <w:rPr>
          <w:rFonts w:ascii="PT Astra Serif" w:hAnsi="PT Astra Serif"/>
          <w:sz w:val="25"/>
          <w:szCs w:val="25"/>
          <w:highlight w:val="none"/>
        </w:rPr>
        <w:t xml:space="preserve">, утвержденный указанным распоряжением</w:t>
      </w:r>
      <w:r>
        <w:rPr>
          <w:rFonts w:ascii="PT Astra Serif" w:hAnsi="PT Astra Serif"/>
          <w:sz w:val="25"/>
          <w:szCs w:val="25"/>
          <w:highlight w:val="none"/>
        </w:rPr>
        <w:t xml:space="preserve"> (</w:t>
      </w:r>
      <w:r>
        <w:rPr>
          <w:rFonts w:ascii="PT Astra Serif" w:hAnsi="PT Astra Serif"/>
          <w:sz w:val="25"/>
          <w:szCs w:val="25"/>
          <w:highlight w:val="white"/>
        </w:rPr>
        <w:t xml:space="preserve">приложени</w:t>
      </w:r>
      <w:r>
        <w:rPr>
          <w:rFonts w:ascii="PT Astra Serif" w:hAnsi="PT Astra Serif"/>
          <w:sz w:val="25"/>
          <w:szCs w:val="25"/>
          <w:highlight w:val="white"/>
        </w:rPr>
        <w:t xml:space="preserve">е</w:t>
      </w:r>
      <w:r>
        <w:rPr>
          <w:rFonts w:ascii="PT Astra Serif" w:hAnsi="PT Astra Serif"/>
          <w:sz w:val="25"/>
          <w:szCs w:val="25"/>
          <w:highlight w:val="white"/>
        </w:rPr>
        <w:t xml:space="preserve"> № </w:t>
      </w:r>
      <w:r>
        <w:rPr>
          <w:rFonts w:ascii="PT Astra Serif" w:hAnsi="PT Astra Serif"/>
          <w:sz w:val="25"/>
          <w:szCs w:val="25"/>
          <w:highlight w:val="white"/>
        </w:rPr>
        <w:t xml:space="preserve">1)</w:t>
      </w:r>
      <w:r>
        <w:rPr>
          <w:rFonts w:ascii="PT Astra Serif" w:hAnsi="PT Astra Serif"/>
          <w:sz w:val="25"/>
          <w:szCs w:val="25"/>
          <w:highlight w:val="white"/>
        </w:rPr>
        <w:t xml:space="preserve">,</w:t>
      </w:r>
      <w:r>
        <w:rPr>
          <w:rFonts w:ascii="PT Astra Serif" w:hAnsi="PT Astra Serif"/>
          <w:sz w:val="25"/>
          <w:szCs w:val="25"/>
          <w:highlight w:val="white"/>
        </w:rPr>
        <w:t xml:space="preserve"> изложить в новой редакции</w:t>
      </w:r>
      <w:r>
        <w:rPr>
          <w:rFonts w:ascii="PT Astra Serif" w:hAnsi="PT Astra Serif"/>
          <w:sz w:val="25"/>
          <w:szCs w:val="25"/>
          <w:highlight w:val="white"/>
        </w:rPr>
        <w:t xml:space="preserve"> </w:t>
      </w:r>
      <w:r>
        <w:rPr>
          <w:rFonts w:ascii="PT Astra Serif" w:hAnsi="PT Astra Serif"/>
          <w:sz w:val="25"/>
          <w:szCs w:val="25"/>
          <w:highlight w:val="white"/>
        </w:rPr>
        <w:t xml:space="preserve">согласно приложению № 1 к настоящему распоряжению;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886"/>
        <w:numPr>
          <w:ilvl w:val="0"/>
          <w:numId w:val="3"/>
        </w:numPr>
        <w:ind w:left="0" w:firstLine="709"/>
        <w:jc w:val="both"/>
        <w:tabs>
          <w:tab w:val="left" w:pos="1134" w:leader="none"/>
        </w:tabs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none"/>
        </w:rPr>
        <w:t xml:space="preserve">паспорт комплекса процессных мероприятий «Приватизация областного государственного имущества»</w:t>
      </w:r>
      <w:r>
        <w:rPr>
          <w:rFonts w:ascii="PT Astra Serif" w:hAnsi="PT Astra Serif"/>
          <w:sz w:val="25"/>
          <w:szCs w:val="25"/>
          <w:highlight w:val="white"/>
        </w:rPr>
        <w:t xml:space="preserve">, утвержденный указанным распоряжением</w:t>
      </w:r>
      <w:r>
        <w:rPr>
          <w:rFonts w:ascii="PT Astra Serif" w:hAnsi="PT Astra Serif"/>
          <w:sz w:val="25"/>
          <w:szCs w:val="25"/>
          <w:highlight w:val="none"/>
        </w:rPr>
        <w:t xml:space="preserve"> (</w:t>
      </w:r>
      <w:r>
        <w:rPr>
          <w:rFonts w:ascii="PT Astra Serif" w:hAnsi="PT Astra Serif"/>
          <w:sz w:val="25"/>
          <w:szCs w:val="25"/>
          <w:highlight w:val="white"/>
        </w:rPr>
        <w:t xml:space="preserve">приложени</w:t>
      </w:r>
      <w:r>
        <w:rPr>
          <w:rFonts w:ascii="PT Astra Serif" w:hAnsi="PT Astra Serif"/>
          <w:sz w:val="25"/>
          <w:szCs w:val="25"/>
          <w:highlight w:val="white"/>
        </w:rPr>
        <w:t xml:space="preserve">е</w:t>
      </w:r>
      <w:r>
        <w:rPr>
          <w:rFonts w:ascii="PT Astra Serif" w:hAnsi="PT Astra Serif"/>
          <w:sz w:val="25"/>
          <w:szCs w:val="25"/>
          <w:highlight w:val="white"/>
        </w:rPr>
        <w:t xml:space="preserve"> № 2)</w:t>
      </w:r>
      <w:r>
        <w:rPr>
          <w:rFonts w:ascii="PT Astra Serif" w:hAnsi="PT Astra Serif"/>
          <w:sz w:val="25"/>
          <w:szCs w:val="25"/>
          <w:highlight w:val="white"/>
        </w:rPr>
        <w:t xml:space="preserve">, </w:t>
      </w:r>
      <w:r>
        <w:rPr>
          <w:rFonts w:ascii="PT Astra Serif" w:hAnsi="PT Astra Serif"/>
          <w:sz w:val="25"/>
          <w:szCs w:val="25"/>
          <w:highlight w:val="white"/>
        </w:rPr>
        <w:t xml:space="preserve">изложить в новой редакции</w:t>
      </w:r>
      <w:r>
        <w:rPr>
          <w:rFonts w:ascii="PT Astra Serif" w:hAnsi="PT Astra Serif"/>
          <w:sz w:val="25"/>
          <w:szCs w:val="25"/>
          <w:highlight w:val="white"/>
        </w:rPr>
        <w:t xml:space="preserve"> </w:t>
      </w:r>
      <w:r>
        <w:rPr>
          <w:rFonts w:ascii="PT Astra Serif" w:hAnsi="PT Astra Serif"/>
          <w:sz w:val="25"/>
          <w:szCs w:val="25"/>
          <w:highlight w:val="white"/>
        </w:rPr>
        <w:t xml:space="preserve">согласно приложению № 2 к настоящему распоряжению</w:t>
      </w:r>
      <w:r>
        <w:rPr>
          <w:rFonts w:ascii="PT Astra Serif" w:hAnsi="PT Astra Serif"/>
          <w:sz w:val="25"/>
          <w:szCs w:val="25"/>
          <w:highlight w:val="white"/>
        </w:rPr>
        <w:t xml:space="preserve">;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886"/>
        <w:numPr>
          <w:ilvl w:val="0"/>
          <w:numId w:val="3"/>
        </w:numPr>
        <w:ind w:left="0" w:firstLine="709"/>
        <w:jc w:val="both"/>
        <w:tabs>
          <w:tab w:val="left" w:pos="1134" w:leader="none"/>
        </w:tabs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none"/>
        </w:rPr>
        <w:t xml:space="preserve">паспорт </w:t>
      </w:r>
      <w:r>
        <w:rPr>
          <w:rFonts w:ascii="PT Astra Serif" w:hAnsi="PT Astra Serif"/>
          <w:sz w:val="25"/>
          <w:szCs w:val="25"/>
          <w:highlight w:val="white"/>
        </w:rPr>
        <w:t xml:space="preserve">комплекса процессных мероприятий «Совершенствование системы учета и контроля государственного имущества Томской области»</w:t>
      </w:r>
      <w:r>
        <w:rPr>
          <w:rFonts w:ascii="PT Astra Serif" w:hAnsi="PT Astra Serif"/>
          <w:sz w:val="25"/>
          <w:szCs w:val="25"/>
          <w:highlight w:val="white"/>
        </w:rPr>
        <w:t xml:space="preserve">, утвержденный указанным распоряжением</w:t>
      </w:r>
      <w:r>
        <w:rPr>
          <w:rFonts w:ascii="PT Astra Serif" w:hAnsi="PT Astra Serif"/>
          <w:sz w:val="25"/>
          <w:szCs w:val="25"/>
          <w:highlight w:val="white"/>
        </w:rPr>
        <w:t xml:space="preserve"> (приложени</w:t>
      </w:r>
      <w:r>
        <w:rPr>
          <w:rFonts w:ascii="PT Astra Serif" w:hAnsi="PT Astra Serif"/>
          <w:sz w:val="25"/>
          <w:szCs w:val="25"/>
          <w:highlight w:val="white"/>
        </w:rPr>
        <w:t xml:space="preserve">е</w:t>
      </w:r>
      <w:r>
        <w:rPr>
          <w:rFonts w:ascii="PT Astra Serif" w:hAnsi="PT Astra Serif"/>
          <w:sz w:val="25"/>
          <w:szCs w:val="25"/>
          <w:highlight w:val="white"/>
        </w:rPr>
        <w:t xml:space="preserve"> № 3)</w:t>
      </w:r>
      <w:r>
        <w:rPr>
          <w:rFonts w:ascii="PT Astra Serif" w:hAnsi="PT Astra Serif"/>
          <w:sz w:val="25"/>
          <w:szCs w:val="25"/>
          <w:highlight w:val="white"/>
        </w:rPr>
        <w:t xml:space="preserve">, </w:t>
      </w:r>
      <w:r>
        <w:rPr>
          <w:rFonts w:ascii="PT Astra Serif" w:hAnsi="PT Astra Serif"/>
          <w:sz w:val="25"/>
          <w:szCs w:val="25"/>
          <w:highlight w:val="white"/>
        </w:rPr>
        <w:t xml:space="preserve">изложить в новой редакции</w:t>
      </w:r>
      <w:r>
        <w:rPr>
          <w:rFonts w:ascii="PT Astra Serif" w:hAnsi="PT Astra Serif"/>
          <w:sz w:val="25"/>
          <w:szCs w:val="25"/>
          <w:highlight w:val="white"/>
        </w:rPr>
        <w:t xml:space="preserve"> </w:t>
      </w:r>
      <w:r>
        <w:rPr>
          <w:rFonts w:ascii="PT Astra Serif" w:hAnsi="PT Astra Serif"/>
          <w:sz w:val="25"/>
          <w:szCs w:val="25"/>
          <w:highlight w:val="white"/>
        </w:rPr>
        <w:t xml:space="preserve">согласно приложению № 3 к настоящему распоряжению</w:t>
      </w:r>
      <w:r>
        <w:rPr>
          <w:rFonts w:ascii="PT Astra Serif" w:hAnsi="PT Astra Serif"/>
          <w:sz w:val="25"/>
          <w:szCs w:val="25"/>
          <w:highlight w:val="none"/>
        </w:rPr>
        <w:t xml:space="preserve">.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2</w:t>
      </w:r>
      <w:r>
        <w:rPr>
          <w:rFonts w:ascii="PT Astra Serif" w:hAnsi="PT Astra Serif"/>
          <w:sz w:val="25"/>
          <w:szCs w:val="25"/>
          <w:highlight w:val="white"/>
        </w:rPr>
        <w:t xml:space="preserve">. Комитету документационно–кадровой работы обеспечить размещение </w:t>
      </w:r>
      <w:r>
        <w:rPr>
          <w:rFonts w:ascii="PT Astra Serif" w:hAnsi="PT Astra Serif"/>
          <w:sz w:val="25"/>
          <w:szCs w:val="25"/>
          <w:highlight w:val="white"/>
        </w:rPr>
        <w:t xml:space="preserve">настоящего распоряжения</w:t>
      </w:r>
      <w:r>
        <w:rPr>
          <w:rFonts w:ascii="PT Astra Serif" w:hAnsi="PT Astra Serif"/>
          <w:sz w:val="25"/>
          <w:szCs w:val="25"/>
          <w:highlight w:val="white"/>
        </w:rPr>
        <w:t xml:space="preserve"> на официальном сайте Департамента по управлению государственной собственностью Томской области.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884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884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Начальник Департамента                                                                                                Т.А. Исакова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shd w:val="nil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none"/>
        </w:rPr>
        <w:br w:type="page" w:clear="all"/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widowControl/>
        <w:rPr>
          <w:rFonts w:ascii="PT Astra Serif" w:hAnsi="PT Astra Serif"/>
          <w:sz w:val="25"/>
          <w:szCs w:val="25"/>
          <w:highlight w:val="white"/>
        </w:rPr>
        <w:sectPr>
          <w:headerReference w:type="default" r:id="rId9"/>
          <w:headerReference w:type="first" r:id="rId10"/>
          <w:footerReference w:type="default" r:id="rId11"/>
          <w:footnotePr/>
          <w:endnotePr/>
          <w:type w:val="continuous"/>
          <w:pgSz w:w="11906" w:h="16838" w:orient="portrait"/>
          <w:pgMar w:top="1134" w:right="567" w:bottom="1134" w:left="1134" w:header="567" w:footer="567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tbl>
      <w:tblPr>
        <w:tblStyle w:val="888"/>
        <w:tblW w:w="8890" w:type="dxa"/>
        <w:tblInd w:w="596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8890"/>
      </w:tblGrid>
      <w:tr>
        <w:trPr/>
        <w:tc>
          <w:tcPr>
            <w:tcW w:w="8890" w:type="dxa"/>
            <w:textDirection w:val="lrTb"/>
            <w:noWrap w:val="false"/>
          </w:tcPr>
          <w:p>
            <w:pPr>
              <w:ind w:left="4672"/>
              <w:jc w:val="both"/>
              <w:widowControl/>
              <w:rPr>
                <w:rFonts w:ascii="PT Astra Serif" w:hAnsi="PT Astra Serif" w:eastAsiaTheme="minorHAnsi"/>
                <w:sz w:val="26"/>
                <w:szCs w:val="26"/>
                <w:highlight w:val="white"/>
              </w:rPr>
              <w:outlineLvl w:val="0"/>
            </w:pPr>
            <w:r>
              <w:rPr>
                <w:rFonts w:ascii="PT Astra Serif" w:hAnsi="PT Astra Serif" w:eastAsiaTheme="minorHAnsi"/>
                <w:sz w:val="26"/>
                <w:szCs w:val="26"/>
                <w:highlight w:val="white"/>
                <w:lang w:eastAsia="en-US"/>
              </w:rPr>
              <w:t xml:space="preserve">Приложение 1</w:t>
            </w:r>
            <w:r>
              <w:rPr>
                <w:rFonts w:ascii="PT Astra Serif" w:hAnsi="PT Astra Serif" w:eastAsiaTheme="minorHAnsi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eastAsiaTheme="minorHAnsi"/>
                <w:sz w:val="26"/>
                <w:szCs w:val="26"/>
                <w:highlight w:val="white"/>
              </w:rPr>
            </w:r>
          </w:p>
          <w:p>
            <w:pPr>
              <w:ind w:left="4672"/>
              <w:jc w:val="both"/>
              <w:widowControl/>
              <w:rPr>
                <w:rFonts w:ascii="PT Astra Serif" w:hAnsi="PT Astra Serif" w:eastAsiaTheme="minorHAnsi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Theme="minorHAnsi"/>
                <w:sz w:val="26"/>
                <w:szCs w:val="26"/>
                <w:highlight w:val="white"/>
                <w:lang w:eastAsia="en-US"/>
              </w:rPr>
              <w:t xml:space="preserve">к распоряжению Департамента по управлению государственной собственностью Томской области</w:t>
            </w:r>
            <w:r>
              <w:rPr>
                <w:rFonts w:ascii="PT Astra Serif" w:hAnsi="PT Astra Serif" w:eastAsiaTheme="minorHAnsi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eastAsiaTheme="minorHAnsi"/>
                <w:sz w:val="26"/>
                <w:szCs w:val="26"/>
                <w:highlight w:val="white"/>
              </w:rPr>
            </w:r>
          </w:p>
          <w:p>
            <w:pPr>
              <w:ind w:left="4672"/>
              <w:jc w:val="both"/>
              <w:widowControl/>
              <w:rPr>
                <w:rFonts w:ascii="PT Astra Serif" w:hAnsi="PT Astra Serif" w:eastAsiaTheme="minorHAnsi"/>
                <w:sz w:val="26"/>
                <w:szCs w:val="26"/>
                <w:highlight w:val="white"/>
                <w:lang w:eastAsia="en-US"/>
              </w:rPr>
              <w:outlineLvl w:val="0"/>
            </w:pPr>
            <w:r>
              <w:rPr>
                <w:rFonts w:ascii="PT Astra Serif" w:hAnsi="PT Astra Serif" w:eastAsiaTheme="minorHAnsi"/>
                <w:sz w:val="26"/>
                <w:szCs w:val="26"/>
                <w:highlight w:val="white"/>
                <w:lang w:eastAsia="en-US"/>
              </w:rPr>
              <w:t xml:space="preserve">от _______________№ ___________</w:t>
            </w:r>
            <w:r>
              <w:rPr>
                <w:rFonts w:ascii="PT Astra Serif" w:hAnsi="PT Astra Serif" w:eastAsiaTheme="minorHAnsi"/>
                <w:sz w:val="26"/>
                <w:szCs w:val="26"/>
                <w:highlight w:val="white"/>
                <w:lang w:eastAsia="en-US"/>
              </w:rPr>
            </w:r>
            <w:r>
              <w:rPr>
                <w:rFonts w:ascii="PT Astra Serif" w:hAnsi="PT Astra Serif" w:eastAsiaTheme="minorHAnsi"/>
                <w:sz w:val="26"/>
                <w:szCs w:val="26"/>
                <w:highlight w:val="white"/>
                <w:lang w:eastAsia="en-US"/>
              </w:rPr>
            </w:r>
          </w:p>
          <w:p>
            <w:pPr>
              <w:ind w:left="4672"/>
              <w:jc w:val="both"/>
              <w:widowControl/>
              <w:rPr>
                <w:rFonts w:ascii="PT Astra Serif" w:hAnsi="PT Astra Serif" w:eastAsiaTheme="minorHAnsi"/>
                <w:sz w:val="26"/>
                <w:szCs w:val="26"/>
                <w:highlight w:val="white"/>
                <w:lang w:eastAsia="en-US"/>
              </w:rPr>
              <w:outlineLvl w:val="0"/>
            </w:pPr>
            <w:r>
              <w:rPr>
                <w:rFonts w:ascii="PT Astra Serif" w:hAnsi="PT Astra Serif" w:eastAsiaTheme="minorHAnsi"/>
                <w:sz w:val="26"/>
                <w:szCs w:val="26"/>
                <w:highlight w:val="white"/>
                <w:lang w:eastAsia="en-US"/>
              </w:rPr>
            </w:r>
            <w:r>
              <w:rPr>
                <w:rFonts w:ascii="PT Astra Serif" w:hAnsi="PT Astra Serif" w:eastAsiaTheme="minorHAnsi"/>
                <w:sz w:val="26"/>
                <w:szCs w:val="26"/>
                <w:highlight w:val="white"/>
                <w:lang w:eastAsia="en-US"/>
              </w:rPr>
            </w:r>
            <w:r>
              <w:rPr>
                <w:rFonts w:ascii="PT Astra Serif" w:hAnsi="PT Astra Serif" w:eastAsiaTheme="minorHAnsi"/>
                <w:sz w:val="26"/>
                <w:szCs w:val="26"/>
                <w:highlight w:val="white"/>
                <w:lang w:eastAsia="en-US"/>
              </w:rPr>
            </w:r>
          </w:p>
          <w:p>
            <w:pPr>
              <w:ind w:left="4672"/>
              <w:jc w:val="both"/>
              <w:widowControl/>
              <w:rPr>
                <w:rFonts w:ascii="PT Astra Serif" w:hAnsi="PT Astra Serif" w:eastAsiaTheme="minorHAnsi"/>
                <w:sz w:val="26"/>
                <w:szCs w:val="26"/>
                <w:highlight w:val="white"/>
              </w:rPr>
              <w:outlineLvl w:val="0"/>
            </w:pPr>
            <w:r>
              <w:rPr>
                <w:rFonts w:ascii="PT Astra Serif" w:hAnsi="PT Astra Serif" w:eastAsiaTheme="minorHAnsi"/>
                <w:sz w:val="26"/>
                <w:szCs w:val="26"/>
                <w:highlight w:val="white"/>
                <w:lang w:eastAsia="en-US"/>
              </w:rPr>
              <w:t xml:space="preserve">«</w:t>
            </w:r>
            <w:r>
              <w:rPr>
                <w:rFonts w:ascii="PT Astra Serif" w:hAnsi="PT Astra Serif" w:eastAsiaTheme="minorHAnsi"/>
                <w:sz w:val="26"/>
                <w:szCs w:val="26"/>
                <w:highlight w:val="white"/>
                <w:lang w:eastAsia="en-US"/>
              </w:rPr>
              <w:t xml:space="preserve">Приложение 1</w:t>
            </w:r>
            <w:r>
              <w:rPr>
                <w:rFonts w:ascii="PT Astra Serif" w:hAnsi="PT Astra Serif" w:eastAsiaTheme="minorHAnsi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eastAsiaTheme="minorHAnsi"/>
                <w:sz w:val="26"/>
                <w:szCs w:val="26"/>
                <w:highlight w:val="white"/>
              </w:rPr>
            </w:r>
          </w:p>
          <w:p>
            <w:pPr>
              <w:ind w:left="4672"/>
              <w:jc w:val="both"/>
              <w:widowControl/>
              <w:rPr>
                <w:rFonts w:ascii="PT Astra Serif" w:hAnsi="PT Astra Serif" w:eastAsiaTheme="minorHAnsi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Theme="minorHAnsi"/>
                <w:sz w:val="26"/>
                <w:szCs w:val="26"/>
                <w:highlight w:val="white"/>
                <w:lang w:eastAsia="en-US"/>
              </w:rPr>
              <w:t xml:space="preserve">к распоряжению Департамента по управлению государственной собственностью Томской области</w:t>
            </w:r>
            <w:r>
              <w:rPr>
                <w:rFonts w:ascii="PT Astra Serif" w:hAnsi="PT Astra Serif" w:eastAsiaTheme="minorHAnsi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eastAsiaTheme="minorHAnsi"/>
                <w:sz w:val="26"/>
                <w:szCs w:val="26"/>
                <w:highlight w:val="white"/>
              </w:rPr>
            </w:r>
          </w:p>
          <w:p>
            <w:pPr>
              <w:ind w:left="4672"/>
              <w:jc w:val="both"/>
              <w:widowControl/>
              <w:rPr>
                <w:rFonts w:ascii="PT Astra Serif" w:hAnsi="PT Astra Serif" w:eastAsiaTheme="minorHAnsi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Theme="minorHAnsi"/>
                <w:sz w:val="26"/>
                <w:szCs w:val="26"/>
                <w:highlight w:val="white"/>
                <w:lang w:eastAsia="en-US"/>
              </w:rPr>
              <w:t xml:space="preserve">от _______________№ ___________</w:t>
            </w:r>
            <w:r>
              <w:rPr>
                <w:rFonts w:ascii="PT Astra Serif" w:hAnsi="PT Astra Serif" w:eastAsiaTheme="minorHAnsi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eastAsiaTheme="minorHAnsi"/>
                <w:sz w:val="26"/>
                <w:szCs w:val="26"/>
                <w:highlight w:val="white"/>
              </w:rPr>
            </w:r>
          </w:p>
        </w:tc>
      </w:tr>
    </w:tbl>
    <w:p>
      <w:pPr>
        <w:ind w:firstLine="539"/>
        <w:jc w:val="center"/>
        <w:widowControl/>
        <w:rPr>
          <w:rFonts w:ascii="PT Astra Serif" w:hAnsi="PT Astra Serif" w:eastAsiaTheme="minorHAnsi"/>
          <w:sz w:val="26"/>
          <w:szCs w:val="26"/>
          <w:highlight w:val="white"/>
        </w:rPr>
      </w:pPr>
      <w:r>
        <w:rPr>
          <w:rFonts w:ascii="PT Astra Serif" w:hAnsi="PT Astra Serif" w:eastAsiaTheme="minorHAnsi"/>
          <w:sz w:val="26"/>
          <w:szCs w:val="26"/>
          <w:highlight w:val="whit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</w:p>
    <w:p>
      <w:pPr>
        <w:contextualSpacing/>
        <w:jc w:val="center"/>
        <w:spacing w:after="200" w:line="276" w:lineRule="auto"/>
        <w:widowControl/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  <w:lang w:eastAsia="en-US"/>
        </w:rPr>
        <w:t xml:space="preserve">ПАСПОРТ </w:t>
      </w: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</w:rPr>
      </w:r>
    </w:p>
    <w:p>
      <w:pPr>
        <w:contextualSpacing/>
        <w:jc w:val="center"/>
        <w:spacing w:after="200" w:line="276" w:lineRule="auto"/>
        <w:widowControl/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  <w:lang w:eastAsia="en-US"/>
        </w:rPr>
        <w:t xml:space="preserve">Комплекса процессных мероприятий</w:t>
      </w: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</w:rPr>
      </w:r>
    </w:p>
    <w:p>
      <w:pPr>
        <w:jc w:val="center"/>
        <w:spacing w:after="200" w:line="276" w:lineRule="auto"/>
        <w:widowControl/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  <w:lang w:eastAsia="en-US"/>
        </w:rPr>
        <w:t xml:space="preserve">«Рациональное использование государственного имущества Томской области»</w:t>
      </w: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</w:rPr>
      </w:r>
    </w:p>
    <w:p>
      <w:pPr>
        <w:jc w:val="center"/>
        <w:spacing w:after="200" w:line="276" w:lineRule="auto"/>
        <w:widowControl/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  <w:lang w:eastAsia="en-US"/>
        </w:rPr>
        <w:t xml:space="preserve">Основные положения</w:t>
      </w: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</w:rPr>
      </w:r>
    </w:p>
    <w:tbl>
      <w:tblPr>
        <w:tblStyle w:val="968"/>
        <w:tblW w:w="15336" w:type="dxa"/>
        <w:jc w:val="center"/>
        <w:tblInd w:w="-8016" w:type="dxa"/>
        <w:tblLook w:val="04A0" w:firstRow="1" w:lastRow="0" w:firstColumn="1" w:lastColumn="0" w:noHBand="0" w:noVBand="1"/>
      </w:tblPr>
      <w:tblGrid>
        <w:gridCol w:w="6085"/>
        <w:gridCol w:w="9251"/>
      </w:tblGrid>
      <w:tr>
        <w:trPr>
          <w:jc w:val="center"/>
        </w:trPr>
        <w:tc>
          <w:tcPr>
            <w:tcW w:w="6085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Ответственный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 за выполнение комплекса процессных мероприятий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9251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Департамент по управлению государственной собственностью Томской области                           (далее – ДУГС ТО)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</w:tr>
      <w:tr>
        <w:trPr>
          <w:jc w:val="center"/>
          <w:trHeight w:val="302"/>
        </w:trPr>
        <w:tc>
          <w:tcPr>
            <w:tcW w:w="6085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Связь с государственной программой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9251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Государственная программа «Эффективное управление государственным имуществом Томской области»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</w:tr>
      <w:tr>
        <w:trPr>
          <w:jc w:val="center"/>
        </w:trPr>
        <w:tc>
          <w:tcPr>
            <w:tcW w:w="6085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Подпрограмма (направление) государственной программы Томской области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9251" w:type="dxa"/>
            <w:textDirection w:val="lrTb"/>
            <w:noWrap w:val="false"/>
          </w:tcPr>
          <w:p>
            <w:pPr>
              <w:ind w:firstLine="45"/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Подпрограмма (направление) государственной программы «Управление государственным имуществом Томской области»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</w:tr>
    </w:tbl>
    <w:p>
      <w:pPr>
        <w:spacing w:after="200" w:line="276" w:lineRule="auto"/>
        <w:widowControl/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</w:rPr>
      </w:r>
    </w:p>
    <w:p>
      <w:pPr>
        <w:jc w:val="center"/>
        <w:spacing w:after="200" w:line="276" w:lineRule="auto"/>
        <w:widowControl/>
        <w:rPr>
          <w:rFonts w:ascii="PT Astra Serif" w:hAnsi="PT Astra Serif" w:eastAsiaTheme="minorHAnsi" w:cstheme="minorBidi"/>
          <w:color w:val="000000" w:themeColor="text1"/>
          <w:sz w:val="22"/>
          <w:szCs w:val="22"/>
          <w:highlight w:val="white"/>
          <w:vertAlign w:val="superscript"/>
        </w:rPr>
      </w:pPr>
      <w:r>
        <w:rPr>
          <w:rFonts w:ascii="PT Astra Serif" w:hAnsi="PT Astra Serif" w:eastAsiaTheme="minorHAnsi" w:cstheme="minorBidi"/>
          <w:color w:val="000000" w:themeColor="text1"/>
          <w:sz w:val="22"/>
          <w:szCs w:val="22"/>
          <w:highlight w:val="white"/>
          <w:lang w:eastAsia="en-US"/>
        </w:rPr>
        <w:t xml:space="preserve">Показатели комплекса процессных мероприятий</w:t>
      </w:r>
      <w:r>
        <w:rPr>
          <w:rFonts w:ascii="PT Astra Serif" w:hAnsi="PT Astra Serif" w:eastAsiaTheme="minorHAnsi" w:cstheme="minorBidi"/>
          <w:color w:val="000000" w:themeColor="text1"/>
          <w:sz w:val="22"/>
          <w:szCs w:val="22"/>
          <w:highlight w:val="white"/>
          <w:vertAlign w:val="superscript"/>
        </w:rPr>
      </w:r>
      <w:r>
        <w:rPr>
          <w:rFonts w:ascii="PT Astra Serif" w:hAnsi="PT Astra Serif" w:eastAsiaTheme="minorHAnsi" w:cstheme="minorBidi"/>
          <w:color w:val="000000" w:themeColor="text1"/>
          <w:sz w:val="22"/>
          <w:szCs w:val="22"/>
          <w:highlight w:val="white"/>
          <w:vertAlign w:val="superscript"/>
        </w:rPr>
      </w:r>
    </w:p>
    <w:tbl>
      <w:tblPr>
        <w:tblStyle w:val="968"/>
        <w:tblpPr w:horzAnchor="text" w:tblpX="-68" w:vertAnchor="text" w:tblpY="1" w:leftFromText="180" w:topFromText="0" w:rightFromText="180" w:bottomFromText="0"/>
        <w:tblW w:w="15417" w:type="dxa"/>
        <w:tblLayout w:type="fixed"/>
        <w:tblLook w:val="04A0" w:firstRow="1" w:lastRow="0" w:firstColumn="1" w:lastColumn="0" w:noHBand="0" w:noVBand="1"/>
      </w:tblPr>
      <w:tblGrid>
        <w:gridCol w:w="600"/>
        <w:gridCol w:w="1701"/>
        <w:gridCol w:w="1276"/>
        <w:gridCol w:w="1417"/>
        <w:gridCol w:w="1559"/>
        <w:gridCol w:w="1276"/>
        <w:gridCol w:w="1559"/>
        <w:gridCol w:w="1276"/>
        <w:gridCol w:w="1134"/>
        <w:gridCol w:w="1102"/>
        <w:gridCol w:w="1258"/>
        <w:gridCol w:w="1259"/>
      </w:tblGrid>
      <w:tr>
        <w:trPr>
          <w:trHeight w:val="245"/>
        </w:trPr>
        <w:tc>
          <w:tcPr>
            <w:tcW w:w="601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№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/п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Наименование показателя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Уровень достижения показателя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Признак возрастания/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убывания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Ответственный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 за достижение показателя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Единица измерения (по ОКЕИ)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ind w:firstLine="33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Базовое значение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ind w:firstLine="33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2023 год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gridSpan w:val="5"/>
            <w:tcW w:w="6029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Планируемое значение показателя (показателя задачи)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44"/>
        </w:trPr>
        <w:tc>
          <w:tcPr>
            <w:tcW w:w="601" w:type="dxa"/>
            <w:vMerge w:val="continue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2024 год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ind w:firstLine="33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2025 год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102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2026 год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258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Прогнозный период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ind w:firstLine="32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2027 год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259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Прогнозный период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ind w:firstLine="32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2028 год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53"/>
        </w:trPr>
        <w:tc>
          <w:tcPr>
            <w:gridSpan w:val="12"/>
            <w:tcW w:w="15417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Организация рационального использования государственного имущества Томской области, признанного необходимым для обеспечения выполнения функций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органов государственной власти Томской области, надлежащий учет государственного имущества Томской области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W w:w="601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     1.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ind w:firstLine="0"/>
              <w:widowControl/>
              <w:tabs>
                <w:tab w:val="left" w:pos="1105" w:leader="none"/>
              </w:tabs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области, за исключением доходов от приватизации государственного имущества Томской области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 ГП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Возрастающий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ДУГС ТО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Процент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100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100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100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110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100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12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100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12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100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W w:w="601" w:type="dxa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2.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Доля являющихся собственностью Томской области земельных участков, права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землепользователей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 на которые оформлены и права на которые невозможно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оформить в силу закона, от общего объема земельных участков, сведения о которых содержатся в Реестре государственного имущества Томской области, на последнюю календарную дату отчетного года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  <w:p>
            <w:pPr>
              <w:ind w:firstLine="0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ГП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Возрастающий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ДУГС ТО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Процент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90,0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90,0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90,0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110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 90,0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12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90,0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12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 90,0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</w:tr>
    </w:tbl>
    <w:p>
      <w:pPr>
        <w:jc w:val="center"/>
        <w:spacing w:after="200" w:line="276" w:lineRule="auto"/>
        <w:widowControl/>
        <w:rPr>
          <w:rFonts w:ascii="PT Astra Serif" w:hAnsi="PT Astra Serif" w:cs="PT Astra Serif" w:eastAsiaTheme="minorHAnsi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cs="PT Astra Serif" w:eastAsiaTheme="minorHAnsi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 w:eastAsiaTheme="minorHAnsi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 w:eastAsiaTheme="minorHAnsi"/>
          <w:color w:val="000000" w:themeColor="text1"/>
          <w:sz w:val="24"/>
          <w:szCs w:val="24"/>
          <w:highlight w:val="white"/>
        </w:rPr>
      </w:r>
    </w:p>
    <w:p>
      <w:pPr>
        <w:jc w:val="center"/>
        <w:spacing w:after="200" w:line="276" w:lineRule="auto"/>
        <w:widowControl/>
        <w:rPr>
          <w:rFonts w:ascii="PT Astra Serif" w:hAnsi="PT Astra Serif" w:cs="PT Astra Serif" w:eastAsiaTheme="minorHAnsi"/>
          <w:color w:val="000000" w:themeColor="text1"/>
          <w:sz w:val="24"/>
          <w:szCs w:val="24"/>
          <w:lang w:eastAsia="en-US"/>
        </w:rPr>
      </w:pPr>
      <w:r>
        <w:rPr>
          <w:rFonts w:ascii="PT Astra Serif" w:hAnsi="PT Astra Serif" w:cs="PT Astra Serif" w:eastAsiaTheme="minorHAnsi"/>
          <w:color w:val="000000" w:themeColor="text1"/>
          <w:sz w:val="24"/>
          <w:szCs w:val="24"/>
          <w:highlight w:val="white"/>
          <w:lang w:eastAsia="en-US"/>
        </w:rPr>
        <w:t xml:space="preserve">План достижения показателей комплекса процессных мероприятий в 2024 финансовому году</w:t>
      </w:r>
      <w:r>
        <w:rPr>
          <w:rFonts w:ascii="PT Astra Serif" w:hAnsi="PT Astra Serif" w:cs="PT Astra Serif" w:eastAsiaTheme="minorHAnsi"/>
          <w:color w:val="000000" w:themeColor="text1"/>
          <w:sz w:val="24"/>
          <w:szCs w:val="24"/>
          <w:lang w:eastAsia="en-US"/>
        </w:rPr>
      </w:r>
      <w:r>
        <w:rPr>
          <w:rFonts w:ascii="PT Astra Serif" w:hAnsi="PT Astra Serif" w:cs="PT Astra Serif" w:eastAsiaTheme="minorHAnsi"/>
          <w:color w:val="000000" w:themeColor="text1"/>
          <w:sz w:val="24"/>
          <w:szCs w:val="24"/>
          <w:lang w:eastAsia="en-US"/>
        </w:rPr>
      </w:r>
    </w:p>
    <w:tbl>
      <w:tblPr>
        <w:tblStyle w:val="888"/>
        <w:tblW w:w="0" w:type="auto"/>
        <w:tblLayout w:type="fixed"/>
        <w:tblLook w:val="04A0" w:firstRow="1" w:lastRow="0" w:firstColumn="1" w:lastColumn="0" w:noHBand="0" w:noVBand="1"/>
      </w:tblPr>
      <w:tblGrid>
        <w:gridCol w:w="874"/>
        <w:gridCol w:w="2069"/>
        <w:gridCol w:w="1372"/>
        <w:gridCol w:w="906"/>
        <w:gridCol w:w="981"/>
        <w:gridCol w:w="910"/>
        <w:gridCol w:w="908"/>
        <w:gridCol w:w="897"/>
        <w:gridCol w:w="955"/>
        <w:gridCol w:w="952"/>
        <w:gridCol w:w="895"/>
        <w:gridCol w:w="903"/>
        <w:gridCol w:w="909"/>
        <w:gridCol w:w="898"/>
        <w:gridCol w:w="924"/>
      </w:tblGrid>
      <w:tr>
        <w:trPr>
          <w:trHeight w:val="869"/>
        </w:trPr>
        <w:tc>
          <w:tcPr>
            <w:tcW w:w="8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 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№ </w:t>
            </w: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п</w:t>
            </w: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/п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20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Наименование показателя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  <w:p>
            <w:pPr>
              <w:widowControl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13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Единица измерения (по ОКЕИ)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gridSpan w:val="11"/>
            <w:tcW w:w="10114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Плановые значения на конец месяца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2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На конец года</w:t>
            </w: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2024 год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415"/>
        </w:trPr>
        <w:tc>
          <w:tcPr>
            <w:tcW w:w="87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6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37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янв.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81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февр.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10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март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08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апр.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897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май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55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июнь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52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июль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895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авг.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03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сен.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09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окт.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898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нояб</w:t>
            </w: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24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rPr>
          <w:trHeight w:val="1244"/>
        </w:trPr>
        <w:tc>
          <w:tcPr>
            <w:tcW w:w="87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  <w:lang w:eastAsia="en-US"/>
              </w:rPr>
              <w:t xml:space="preserve">1.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2069" w:type="dxa"/>
            <w:textDirection w:val="lrTb"/>
            <w:noWrap w:val="false"/>
          </w:tcPr>
          <w:p>
            <w:pPr>
              <w:widowControl/>
              <w:tabs>
                <w:tab w:val="left" w:pos="1105" w:leader="none"/>
              </w:tabs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Результативность исполнения областного бюджета в части прогнозируемых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неналоговых доходов от использования государственного имущества Томской области, за исключением доходов от приватизации государственного имущества Томской области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372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Процент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906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1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08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897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55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52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895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0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09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898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24" w:type="dxa"/>
            <w:textDirection w:val="lrTb"/>
            <w:noWrap w:val="false"/>
          </w:tcPr>
          <w:p>
            <w:pPr>
              <w:jc w:val="center"/>
              <w:widowControl/>
              <w:tabs>
                <w:tab w:val="left" w:pos="1105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100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W w:w="874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2.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069" w:type="dxa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Доля являющихся собственностью Томской области земельных участков, права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землепользователей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 на которые оформлены и права на которые невозможно оформить в силу закона, от общего объема земельных участков, сведения о которых содержатся в Реестре государственного имущества Томской области,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на последнюю календарную дату отчетного года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1372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Процент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906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10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08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897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55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52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895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03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09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898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24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90,0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</w:tbl>
    <w:p>
      <w:pPr>
        <w:jc w:val="center"/>
        <w:spacing w:after="200" w:line="276" w:lineRule="auto"/>
        <w:widowControl/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  <w:lang w:eastAsia="en-US"/>
        </w:rPr>
      </w:pP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  <w:lang w:eastAsia="en-US"/>
        </w:rPr>
      </w: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  <w:lang w:eastAsia="en-US"/>
        </w:rPr>
      </w: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  <w:lang w:eastAsia="en-US"/>
        </w:rPr>
      </w:r>
    </w:p>
    <w:p>
      <w:pPr>
        <w:jc w:val="center"/>
        <w:spacing w:after="200" w:line="276" w:lineRule="auto"/>
        <w:widowControl/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  <w:lang w:eastAsia="en-US"/>
        </w:rPr>
        <w:t xml:space="preserve">Перечень мероприятий комплекса процессных мероприятий</w:t>
      </w: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</w:rPr>
      </w:r>
    </w:p>
    <w:tbl>
      <w:tblPr>
        <w:tblStyle w:val="968"/>
        <w:tblpPr w:horzAnchor="text" w:tblpX="-68" w:vertAnchor="text" w:tblpY="1" w:leftFromText="180" w:topFromText="0" w:rightFromText="180" w:bottomFromText="0"/>
        <w:tblW w:w="15417" w:type="dxa"/>
        <w:tblLayout w:type="fixed"/>
        <w:tblLook w:val="04A0" w:firstRow="1" w:lastRow="0" w:firstColumn="1" w:lastColumn="0" w:noHBand="0" w:noVBand="1"/>
      </w:tblPr>
      <w:tblGrid>
        <w:gridCol w:w="565"/>
        <w:gridCol w:w="1879"/>
        <w:gridCol w:w="1558"/>
        <w:gridCol w:w="2551"/>
        <w:gridCol w:w="2126"/>
        <w:gridCol w:w="1134"/>
        <w:gridCol w:w="1276"/>
        <w:gridCol w:w="709"/>
        <w:gridCol w:w="709"/>
        <w:gridCol w:w="850"/>
        <w:gridCol w:w="992"/>
        <w:gridCol w:w="1068"/>
      </w:tblGrid>
      <w:tr>
        <w:trPr>
          <w:trHeight w:val="245"/>
        </w:trPr>
        <w:tc>
          <w:tcPr>
            <w:tcW w:w="565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№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/п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879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Наименование мероприятия (результата)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Тип мероприятия (результата)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551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Характеристика мероприятия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  <w:vertAlign w:val="superscript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  <w:vertAlign w:val="superscript"/>
              </w:rPr>
            </w:r>
          </w:p>
        </w:tc>
        <w:tc>
          <w:tcPr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Наименование показателя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Единица измерения (по ОКЕИ)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ind w:firstLine="33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Базовое значение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ind w:firstLine="33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2023 год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gridSpan w:val="5"/>
            <w:tcW w:w="4328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Планируемое значение показателя мероприятия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44"/>
        </w:trPr>
        <w:tc>
          <w:tcPr>
            <w:tcW w:w="565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879" w:type="dxa"/>
            <w:vMerge w:val="continue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5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551" w:type="dxa"/>
            <w:vMerge w:val="continue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2024 год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ind w:firstLine="33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2025 год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2026 год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Прогнозный период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ind w:firstLine="32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2027 год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68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Прогнозный период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  <w:p>
            <w:pPr>
              <w:ind w:firstLine="32"/>
              <w:jc w:val="center"/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2028 год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tcW w:w="565" w:type="dxa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1.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  <w:p>
            <w:pPr>
              <w:ind w:firstLine="426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1879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Регистрация права собственности Томской области на объекты недвижимого имущества, в том числе земельные участки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558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Осуществление текущей деятельности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Выполнение работ по землеус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тройству, межеванию и постановке на государственный кадастровый учет земельных участков, на которые у Томской области возникает право собственности. Осуществление юридически значимых действий, необходимых для регистрации права собственности Томской области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ind w:firstLine="0"/>
              <w:widowControl/>
              <w:tabs>
                <w:tab w:val="left" w:pos="1105" w:leader="none"/>
              </w:tabs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Количество выписок из Единого государственного реестра недвижимости о государственной регистрации права Томской области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Штука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24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ind w:firstLine="0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14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14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14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14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68" w:type="dxa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14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tcW w:w="565" w:type="dxa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2.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879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Приобретение прочих услуг для управления имуществом, учитываемым в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Реестре государственного имущества Томской области, за исключением земельных участков, а также приобретаемым в государственную собственность Томской области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558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Осуществление текущей деятельности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Приобретение услуг по оценке имущества для принятия к бюджетному учету, предоставления муниципальным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образованиям,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предоставления в пользование и управление,  внесения в уставный (складочный) капитал юридического лица, передачи в качестве имущественного взноса некоммерч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еской организации. Приобретение услуг по энергетическому обследованию недвижимого имущества. Приобретение услуг по проведению обследования (экспертизы) на соответствие имущества требованиям пожарной безопасности и санитарно-эпидемиологическим требованиям.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ind w:firstLine="0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Выполнение работ по проведению строительно-технической экспертизы и технического обследования объектов капитального строительства. Выполнение кадастровых работ в целях государственного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кадастрового учета. Осуществление расходов на оплату нотариального тарифа за услуги за совершение нотариальных действий, связанны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х с государственной регистрацией права собственности Томской области на объект недвижимости. Приобретение услуг держателя реестра владельцев ценных бумаг (лица, осуществляющего деятельность по ведению реестра владельцев ценных бумаг). Проведение экспертизы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 поставленного товара, результатов выполненных работ, оказанных услуг. Приобретение консультационных услуг. Приобретение услуг по охране имущества, не закрепленного на праве оперативного управления или хозяйственного ведения за областными государственными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учреждениями, областными государственными унитарными предприятиями, и оплате коммунальных услуг при использовании такого имущества, других услуг по содержан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ию указанного имущества, а также расходы по оплате  договоров на приобретение (изготовление) объектов, относящихся к материальным запасам. Приобретение услуг (работ) в целях принятия либо исполнения решения по распоряжению государственным имуществом Томско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й области. Взносы на капитальный ремонт общего имущества в многоквартирных домах, жилые помещения в которых находятся в Казне Томской области, на основании Закона Томской области   от        7 июня 2013 года             № 116-ОЗ «Об организации проведения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капитального ремонта общего имущества в многоквартирных домах на территории Томской области»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Количество заключенных государственных контрактов, договоров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firstLine="0"/>
              <w:jc w:val="center"/>
              <w:widowControl/>
              <w:tabs>
                <w:tab w:val="left" w:pos="1105" w:leader="none"/>
              </w:tabs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Штука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228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216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216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216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216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68" w:type="dxa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216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tcW w:w="565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3.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879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Оценка рыночной стоимости арендной платы, рыночной стоимости земельных участков, находящихся в государственной собственности Томской области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558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Осуществление текущей деятельности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Приобретение услуг по определению рыночной стоимости арендной платы, рыночной стоимости земельных участков, находящихся в государственной собственности Томской области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Количество земельных участков, в отношении которых определена рыночная стоимость арендной платы, рыночная стоимость земельных участков, находящихся в государственной собственности Томской области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Штука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80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80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80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80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80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68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80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819"/>
        </w:trPr>
        <w:tc>
          <w:tcPr>
            <w:tcW w:w="565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4.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879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Обеспечение бесперебойной работы автоматизированной информационной системы «Информационно-аналитическая система управления государственной собственностью Томской области»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558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Осуществление текущей деятельности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ind w:firstLine="0"/>
              <w:jc w:val="center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Обеспечение заключения государственных контрактов на оказание ежегодных услуг по сопровождению информационно-аналитической системы управления государственной собственностью Томской области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Количество бесперебойно функционирующих информационно-аналитических систем управления государственной собственностью Томской области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Штука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68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W w:w="565" w:type="dxa"/>
            <w:vMerge w:val="restart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879" w:type="dxa"/>
            <w:vMerge w:val="restart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Приобретение особо ценного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558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Приобретение товаров,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работ, услуг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1. Обеспечение заключения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государственных контрактов (договоров) на оказание услуг по предоставлению (в том числе продлению) неисключительных (пользовательских) лицензионных прав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на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программный комплекс «РАСКО», программное обеспечение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Kaspersky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Endpoint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Security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Количество программных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продуктов (комплексов), на которые приобретены неисключительные права использования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Штука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123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51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51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51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51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68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51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W w:w="565" w:type="dxa"/>
            <w:vMerge w:val="continue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879" w:type="dxa"/>
            <w:vMerge w:val="continue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5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551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2. Обеспечение заключения государственных контрактов (договоров) на приобретение системных блоков, мониторов, многофункциональных устройств, принтеров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Количество приобретенных объектов особо ценного движимого имущества, иных основных средств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Штука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12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53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53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53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53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68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53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W w:w="565" w:type="dxa"/>
            <w:vMerge w:val="restart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879" w:type="dxa"/>
            <w:vMerge w:val="restart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Предоставление государственных услуг, выполнение государственных работ в сфере рационального использования государственного имущества Томской области областными государственными учреждениями, подведомственными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Департаменту по управлению государственной собственности Томской области, в соответствии с государственным заданием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558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br/>
              <w:t xml:space="preserve">Оказание услуг (выполнение работ)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551" w:type="dxa"/>
            <w:vMerge w:val="restart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Предоставление государственных услуг, выполнение государственных работ, указанных в настоящем паспорте комплекса процессных мероприятий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Количество государственных работ (услуг), на которые доводятся государственные задания, выполненные (предоставленные) в полном объеме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Единица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68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W w:w="565" w:type="dxa"/>
            <w:vMerge w:val="continue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879" w:type="dxa"/>
            <w:vMerge w:val="continue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5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551" w:type="dxa"/>
            <w:vMerge w:val="continue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Количество областных государственных учреждений, выполнивших государственные задания в полном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объеме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Единица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68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W w:w="565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879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Оплата коммунальных услуг, внесение платы за домофон, охрану, содержание жилых помещений, находящихся в государственной собственности Томской области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558" w:type="dxa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Оказание услуг (выполнение работ)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Оплата электроэнергии, тепловой энергии, водоснабжения и водоотведения, обращения с твердыми коммунальными отходами, внесение платы за содержание жилого помещения (включая услуги и работы по управлению многоквартирным домом, содержанию и ремонту общ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его имущества,  оплату электроэнергии, холодного и горячего водоснабжения, водоотведения, потребленных в целях содержания общего имущества), платы за домофон, платы за охрану в отношении жилых помещений, находящихся в государственной собственности Томской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области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Размер просроченной задолженности по оплате коммунальных услуг, внесению платы за содержание жилых помещений, находящихся в государственной собственности Томской области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Рубль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68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</w:tbl>
    <w:p>
      <w:pPr>
        <w:jc w:val="center"/>
        <w:spacing w:after="200" w:line="276" w:lineRule="auto"/>
        <w:widowControl/>
        <w:rPr>
          <w:rFonts w:ascii="PT Astra Serif" w:hAnsi="PT Astra Serif" w:eastAsiaTheme="minorHAnsi" w:cstheme="minorBidi"/>
          <w:color w:val="000000"/>
          <w:sz w:val="24"/>
          <w:szCs w:val="24"/>
          <w:highlight w:val="white"/>
          <w:lang w:eastAsia="en-US"/>
        </w:rPr>
      </w:pPr>
      <w:r>
        <w:rPr>
          <w:rFonts w:ascii="PT Astra Serif" w:hAnsi="PT Astra Serif" w:eastAsiaTheme="minorHAnsi" w:cstheme="minorBidi"/>
          <w:color w:val="000000"/>
          <w:sz w:val="24"/>
          <w:szCs w:val="24"/>
          <w:highlight w:val="white"/>
          <w:lang w:eastAsia="en-US"/>
        </w:rPr>
      </w:r>
      <w:r>
        <w:rPr>
          <w:rFonts w:ascii="PT Astra Serif" w:hAnsi="PT Astra Serif" w:eastAsiaTheme="minorHAnsi" w:cstheme="minorBidi"/>
          <w:color w:val="000000"/>
          <w:sz w:val="24"/>
          <w:szCs w:val="24"/>
          <w:highlight w:val="white"/>
          <w:lang w:eastAsia="en-US"/>
        </w:rPr>
      </w:r>
      <w:r>
        <w:rPr>
          <w:rFonts w:ascii="PT Astra Serif" w:hAnsi="PT Astra Serif" w:eastAsiaTheme="minorHAnsi" w:cstheme="minorBidi"/>
          <w:color w:val="000000"/>
          <w:sz w:val="24"/>
          <w:szCs w:val="24"/>
          <w:highlight w:val="white"/>
          <w:lang w:eastAsia="en-US"/>
        </w:rPr>
      </w:r>
    </w:p>
    <w:p>
      <w:pPr>
        <w:jc w:val="center"/>
        <w:spacing w:after="200" w:line="276" w:lineRule="auto"/>
        <w:widowControl/>
        <w:rPr>
          <w:rFonts w:ascii="PT Astra Serif" w:hAnsi="PT Astra Serif" w:eastAsiaTheme="minorHAnsi" w:cstheme="minorBidi"/>
          <w:color w:val="000000"/>
          <w:sz w:val="24"/>
          <w:szCs w:val="24"/>
          <w:lang w:eastAsia="en-US"/>
        </w:rPr>
      </w:pPr>
      <w:r>
        <w:rPr>
          <w:rFonts w:ascii="PT Astra Serif" w:hAnsi="PT Astra Serif" w:eastAsiaTheme="minorHAnsi" w:cstheme="minorBidi"/>
          <w:color w:val="000000"/>
          <w:sz w:val="24"/>
          <w:szCs w:val="24"/>
          <w:highlight w:val="white"/>
          <w:lang w:eastAsia="en-US"/>
        </w:rPr>
        <w:t xml:space="preserve">Финансовое обеспечение комплекса процессных мероприятий</w:t>
      </w:r>
      <w:r>
        <w:rPr>
          <w:rFonts w:ascii="PT Astra Serif" w:hAnsi="PT Astra Serif" w:eastAsiaTheme="minorHAnsi" w:cstheme="minorBidi"/>
          <w:color w:val="000000"/>
          <w:sz w:val="24"/>
          <w:szCs w:val="24"/>
          <w:lang w:eastAsia="en-US"/>
        </w:rPr>
      </w:r>
      <w:r>
        <w:rPr>
          <w:rFonts w:ascii="PT Astra Serif" w:hAnsi="PT Astra Serif" w:eastAsiaTheme="minorHAnsi" w:cstheme="minorBidi"/>
          <w:color w:val="000000"/>
          <w:sz w:val="24"/>
          <w:szCs w:val="24"/>
          <w:lang w:eastAsia="en-US"/>
        </w:rPr>
      </w:r>
    </w:p>
    <w:tbl>
      <w:tblPr>
        <w:tblStyle w:val="968"/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954"/>
        <w:gridCol w:w="1559"/>
        <w:gridCol w:w="1560"/>
        <w:gridCol w:w="1984"/>
        <w:gridCol w:w="1418"/>
        <w:gridCol w:w="1559"/>
        <w:gridCol w:w="1417"/>
      </w:tblGrid>
      <w:tr>
        <w:trPr/>
        <w:tc>
          <w:tcPr>
            <w:tcW w:w="5954" w:type="dxa"/>
            <w:vMerge w:val="restart"/>
            <w:textDirection w:val="lrTb"/>
            <w:noWrap w:val="false"/>
          </w:tcPr>
          <w:p>
            <w:pPr>
              <w:ind w:left="34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ind w:left="34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Наименование мероприятия  / источник финансового обеспечения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ind w:firstLine="0"/>
              <w:jc w:val="center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ГРБС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gridSpan w:val="5"/>
            <w:tcW w:w="7938" w:type="dxa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Объем финансового обеспечения (тыс. руб.)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tcW w:w="5954" w:type="dxa"/>
            <w:vMerge w:val="continue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2024 год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ind w:firstLine="34"/>
              <w:jc w:val="center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2025 год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ind w:hanging="5"/>
              <w:jc w:val="center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2026 год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ind w:hanging="5"/>
              <w:jc w:val="center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Прогнозный период 2027 год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ind w:hanging="5"/>
              <w:jc w:val="center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Прогнозный период 2028 год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>
          <w:trHeight w:val="502"/>
        </w:trPr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Комплекс процессных мероприятий «Рациональное использование государственного имущества Томской области» 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  <w:p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69 674,2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70 409,7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70 663,5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70 663,5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70 663,5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contextualSpacing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</w:tr>
      <w:tr>
        <w:trPr>
          <w:trHeight w:val="273"/>
        </w:trPr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69 674,2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70 409,7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70 663,5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70 663,5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70 663,5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Мероприятие  «Регистрация права собственности Томской области на объекты недвижимого имущества, в том числе земельные участки» 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  <w:p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contextualSpacing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Мероприятие  «Приобретение прочих услуг для управления имуществом, учитываемым в Реестре государственного имущества Томской области, за исключением земельных участков, а также приобретаемым в государственную собственность Томской области» 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  <w:p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3 260,6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3 116,3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2 318,3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2 318,3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2 318,3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contextualSpacing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>
          <w:trHeight w:val="175"/>
        </w:trPr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3 260,6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3 116,3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2 318,3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2 318,3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2 318,3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Мероприятие  «Оценка рыночной стоимости арендной платы, рыночной стоимости земельных участков, находящихся в государственной собственности Томской области» 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  <w:p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contextualSpacing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Мероприятие  «Обеспечение бесперебойной работы автоматизированной информационной системы «Информационно-аналитическая система управления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государственной собственностью Томской области» 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  <w:p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1 960,0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1 677,6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1 677,6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1 677,6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1 677,6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contextualSpacing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1 960,0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1 677,6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1 677,6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1 677,6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1 677,6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Мероприятие  «Приобретение особо ценного движимого и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задания» 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  <w:p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2 732,5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3 639,8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4 437,8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4 437,8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4 437,8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contextualSpacing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2 732,5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3 639,8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4 437,8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4 437,8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4 437,8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Мероприятие  «Предоставление государственных услуг, выполнение государственных работ в сфере рационального использования государственного имущества Томской области областными государственными учреждениями,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подведомственными Департаменту по управлению государственной собственности Томской области, в соответствии с государственным заданием» 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  <w:p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61 138,5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61 393,4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61 647,2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61 647,2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61 647,2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contextualSpacing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61 138,5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61 393,4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61 647,2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61 647,2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61 647,2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Мероприятие  «Оплата коммунальных услуг, внесение платы за домофон, охрану, содержание жилых помещений, находящихся в государственной собственности Томской области» 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  <w:p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231,0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231,0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231,0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231,0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231,0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contextualSpacing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  <w14:ligatures w14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231,0</w:t>
            </w:r>
            <w:r>
              <w:rPr>
                <w:rFonts w:ascii="PT Astra Serif" w:hAnsi="PT Astra Serif"/>
                <w:sz w:val="24"/>
                <w:szCs w:val="24"/>
                <w:highlight w:val="white"/>
                <w14:ligatures w14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  <w14:ligatures w14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  <w14:ligatures w14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231,0</w:t>
            </w:r>
            <w:r>
              <w:rPr>
                <w:rFonts w:ascii="PT Astra Serif" w:hAnsi="PT Astra Serif"/>
                <w:sz w:val="24"/>
                <w:szCs w:val="24"/>
                <w:highlight w:val="white"/>
                <w14:ligatures w14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  <w14:ligatures w14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  <w14:ligatures w14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231,0</w:t>
            </w:r>
            <w:r>
              <w:rPr>
                <w:rFonts w:ascii="PT Astra Serif" w:hAnsi="PT Astra Serif"/>
                <w:sz w:val="24"/>
                <w:szCs w:val="24"/>
                <w:highlight w:val="white"/>
                <w14:ligatures w14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  <w14:ligatures w14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  <w14:ligatures w14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231,0</w:t>
            </w:r>
            <w:r>
              <w:rPr>
                <w:rFonts w:ascii="PT Astra Serif" w:hAnsi="PT Astra Serif"/>
                <w:sz w:val="24"/>
                <w:szCs w:val="24"/>
                <w:highlight w:val="white"/>
                <w14:ligatures w14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  <w14:ligatures w14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  <w14:ligatures w14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231,0</w:t>
            </w:r>
            <w:r>
              <w:rPr>
                <w:rFonts w:ascii="PT Astra Serif" w:hAnsi="PT Astra Serif"/>
                <w:sz w:val="24"/>
                <w:szCs w:val="24"/>
                <w:highlight w:val="white"/>
                <w14:ligatures w14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  <w14:ligatures w14:val="non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</w:tbl>
    <w:p>
      <w:pPr>
        <w:contextualSpacing/>
        <w:jc w:val="center"/>
        <w:spacing w:after="200" w:line="276" w:lineRule="auto"/>
        <w:widowControl/>
        <w:rPr>
          <w:rFonts w:ascii="PT Astra Serif" w:hAnsi="PT Astra Serif" w:eastAsiaTheme="minorHAnsi" w:cstheme="minorBidi"/>
          <w:sz w:val="24"/>
          <w:szCs w:val="24"/>
          <w:highlight w:val="white"/>
          <w:lang w:eastAsia="en-US"/>
        </w:rPr>
      </w:pPr>
      <w:r>
        <w:rPr>
          <w:rFonts w:ascii="PT Astra Serif" w:hAnsi="PT Astra Serif" w:eastAsiaTheme="minorHAnsi" w:cstheme="minorBidi"/>
          <w:sz w:val="24"/>
          <w:szCs w:val="24"/>
          <w:highlight w:val="white"/>
          <w:lang w:eastAsia="en-US"/>
        </w:rPr>
      </w:r>
      <w:r>
        <w:rPr>
          <w:rFonts w:ascii="PT Astra Serif" w:hAnsi="PT Astra Serif" w:eastAsiaTheme="minorHAnsi" w:cstheme="minorBidi"/>
          <w:sz w:val="24"/>
          <w:szCs w:val="24"/>
          <w:highlight w:val="white"/>
          <w:lang w:eastAsia="en-US"/>
        </w:rPr>
      </w:r>
      <w:r>
        <w:rPr>
          <w:rFonts w:ascii="PT Astra Serif" w:hAnsi="PT Astra Serif" w:eastAsiaTheme="minorHAnsi" w:cstheme="minorBidi"/>
          <w:sz w:val="24"/>
          <w:szCs w:val="24"/>
          <w:highlight w:val="white"/>
          <w:lang w:eastAsia="en-US"/>
        </w:rPr>
      </w:r>
    </w:p>
    <w:p>
      <w:pPr>
        <w:contextualSpacing/>
        <w:jc w:val="center"/>
        <w:spacing w:after="200" w:line="276" w:lineRule="auto"/>
        <w:widowControl/>
        <w:rPr>
          <w:rFonts w:ascii="PT Astra Serif" w:hAnsi="PT Astra Serif" w:eastAsiaTheme="minorHAnsi" w:cstheme="minorBidi"/>
          <w:sz w:val="24"/>
          <w:szCs w:val="24"/>
          <w:lang w:eastAsia="en-US"/>
        </w:rPr>
      </w:pPr>
      <w:r>
        <w:rPr>
          <w:rFonts w:ascii="PT Astra Serif" w:hAnsi="PT Astra Serif" w:eastAsiaTheme="minorHAnsi" w:cstheme="minorBidi"/>
          <w:sz w:val="24"/>
          <w:szCs w:val="24"/>
          <w:highlight w:val="white"/>
          <w:lang w:eastAsia="en-US"/>
        </w:rPr>
        <w:t xml:space="preserve">План реализации комплекса процессных мероприятий</w:t>
      </w:r>
      <w:r>
        <w:rPr>
          <w:rFonts w:ascii="PT Astra Serif" w:hAnsi="PT Astra Serif" w:eastAsiaTheme="minorHAnsi" w:cstheme="minorBidi"/>
          <w:sz w:val="24"/>
          <w:szCs w:val="24"/>
          <w:lang w:eastAsia="en-US"/>
        </w:rPr>
      </w:r>
      <w:r>
        <w:rPr>
          <w:rFonts w:ascii="PT Astra Serif" w:hAnsi="PT Astra Serif" w:eastAsiaTheme="minorHAnsi" w:cstheme="minorBidi"/>
          <w:sz w:val="24"/>
          <w:szCs w:val="24"/>
          <w:lang w:eastAsia="en-US"/>
        </w:rPr>
      </w:r>
    </w:p>
    <w:p>
      <w:pPr>
        <w:contextualSpacing/>
        <w:jc w:val="center"/>
        <w:spacing w:after="200" w:line="276" w:lineRule="auto"/>
        <w:widowControl/>
        <w:rPr>
          <w:rFonts w:ascii="PT Astra Serif" w:hAnsi="PT Astra Serif" w:eastAsiaTheme="minorHAnsi" w:cstheme="minorBidi"/>
          <w:sz w:val="26"/>
          <w:szCs w:val="26"/>
          <w:highlight w:val="white"/>
        </w:rPr>
      </w:pP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</w:p>
    <w:tbl>
      <w:tblPr>
        <w:tblStyle w:val="888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570"/>
        <w:gridCol w:w="1674"/>
        <w:gridCol w:w="1701"/>
        <w:gridCol w:w="3206"/>
        <w:gridCol w:w="2193"/>
        <w:gridCol w:w="2113"/>
      </w:tblGrid>
      <w:tr>
        <w:trPr/>
        <w:tc>
          <w:tcPr>
            <w:tcW w:w="8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№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п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/п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Задача, мероприятие (результат)/контрольная точка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Дата наступления контрольной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точки (начало)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Дата наступления контрольной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точки (окончание)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Ответственный исполнитель (наименование исполнительного органа, иного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государственного органа, организации)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Вид подтверждающего документа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Информационная система (источник данных)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gridSpan w:val="7"/>
            <w:tcW w:w="15274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Организация рационального использования государственного имущества Томской области, признанного необходимым для обеспечения выполнения функций органов государственной власти Томской области, надлежащий учет государственного имущества Томской области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>
          <w:trHeight w:val="2655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Приобретение особо ценного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01.01.2024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31.12.2026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Государственный контракт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З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акупка включена в план закупок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29.03.2024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План-график закупок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28.06.2024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br/>
              <w:t xml:space="preserve">Документация о закупке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.3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Произведена приемка поставленных товаров, выполненных работ, оказанных услуг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30.09.2024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Акт приёма-передачи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Произведена оплата товаров, выполненных работ, оказанных услуг по государственному (муниципальному) контракту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27.12.2024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.5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З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акупка включена в план закупок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28.03.2025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План-график закупок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.6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27.06.2025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br/>
              <w:t xml:space="preserve">Документация о закупке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Произведена приемка поставленных товаров, выполненных работ, оказанных услуг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30.09.2025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Акт приёма-передачи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.8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Произведена оплата товаров, выполненных работ, оказанных услуг по государственному (муниципальному) контракту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29.12.2025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.9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З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акупка включена в план закупок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27.03.2026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План-график закупок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.10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26.06.2026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br/>
              <w:t xml:space="preserve">Документация о закупке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.11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Произведена приемка поставленных товаров, выполненных работ, оказанных услуг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30.09.2026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Акт приёма-передачи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.12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Произведена оплата товаров, выполненных работ, оказанных услуг по государственному (муниципальному) контракту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29.12.2026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W w:w="81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Предоставление государственных услуг, выполнение государственных работ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 в сфере рационального использования государственного имущества Томской области областными государственными учреждениями, подведомственными Департаменту по управлению государственной собственностью Томской области, в соответствии с государственным заданием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01.01.2024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31.12.2026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Отчет (отчет об использовании субсидии, отчет об исполнении государственного задания)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360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Документ принят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19.01.2024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Закон (областной закон об областном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бюджете)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ЕИС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КонсультантПлюс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1140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01.02.2024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394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.3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05.02.2024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96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27.12.2024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.5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Документ принят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20.01.2025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Закон  (областной закон об областном бюджете)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ЕИС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КонсультантПлюс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.6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03.02.2025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Соглашение о порядке и условиях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05.02.2025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Соглашение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(Соглашение о порядке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  <w:t xml:space="preserve">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  <w:t xml:space="preserve">8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03.03.2025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Отчет (отчет об использовании субсидии, отчет об исполнении государственного задания за 2024 год)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.9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29.12.2025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.10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Документ принят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19.01.2026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Закон  (областной закон об областном бюджете)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ЕИС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КонсультантПлюс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.11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03.02.2026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  <w:t xml:space="preserve">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Соглашение о порядке и условиях предоставления субсидии на выполнение государственного задания на оказание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05.02.2026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предоставления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субсидии на финансовое обеспечение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  <w:t xml:space="preserve">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  <w:t xml:space="preserve">.13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02.03.2026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Отчет (отчет об использовании субсидии, отчет об исполнении государственного задания за 2025 год)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  <w:t xml:space="preserve">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29.12.2026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W w:w="81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3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Оплата коммунальных услуг, внесение платы за домофон, охрану, содержание жилых помещений, находящихся в государственной собственности Томской области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01.01.2024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31.12.2026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Отчет (отчет об использовании субсидии, отчет об исполнении государственного задания)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3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Align w:val="center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Документ принят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19.01.2024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Закон (областной закон об областном бюджете)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ЕИС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КонсультантПлюс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3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01.02.2024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3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.3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Соглашение о порядке и условиях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05.02.2024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Соглашение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(соглашение о порядке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53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3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none"/>
              </w:rPr>
              <w:t xml:space="preserve">27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.12.2024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53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3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.5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Документ принят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20.01.2025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Закон  (областной закон об областном бюджете)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ЕИС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КонсультантПлюс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53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3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.6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03.02.2025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1983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3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05.02.2025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выполнения государственного задания,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Соглашение об использовании субсидии на иные цели)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1983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3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.8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03.03.2025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Отчет (отчет об использовании субсидии, отчет об исполнении государственного задания за 2024 год)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53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3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.9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29.12.2025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53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3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.10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Документ принят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19.01.2026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Закон  (областной закон об областном бюджете)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ЕИС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КонсультантПлюс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53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3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.11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03.02.2026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53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3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.12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05.02.2026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выполнения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государственного задания, Соглашение об использовании субсидии на иные цели)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53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3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.13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02.03.2026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Отчет (отчет об использовании субсидии, отчет об исполнении государственного задания за 2025 год)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53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3</w:t>
            </w:r>
            <w:bookmarkStart w:id="0" w:name="_GoBack"/>
            <w:r/>
            <w:bookmarkEnd w:id="0"/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.14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570" w:type="dxa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29.12.2026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06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2113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</w:tbl>
    <w:p>
      <w:pPr>
        <w:contextualSpacing/>
        <w:jc w:val="center"/>
        <w:spacing w:after="200" w:line="276" w:lineRule="auto"/>
        <w:widowControl/>
        <w:rPr>
          <w:rFonts w:ascii="PT Astra Serif" w:hAnsi="PT Astra Serif" w:eastAsiaTheme="minorHAnsi" w:cstheme="minorBidi"/>
          <w:sz w:val="24"/>
          <w:szCs w:val="24"/>
        </w:rPr>
      </w:pPr>
      <w:r>
        <w:rPr>
          <w:rFonts w:ascii="PT Astra Serif" w:hAnsi="PT Astra Serif" w:eastAsiaTheme="minorHAnsi" w:cstheme="minorBidi"/>
          <w:sz w:val="24"/>
          <w:szCs w:val="24"/>
        </w:rPr>
      </w:r>
      <w:r>
        <w:rPr>
          <w:rFonts w:ascii="PT Astra Serif" w:hAnsi="PT Astra Serif" w:eastAsiaTheme="minorHAnsi" w:cstheme="minorBidi"/>
          <w:sz w:val="24"/>
          <w:szCs w:val="24"/>
        </w:rPr>
      </w:r>
      <w:r>
        <w:rPr>
          <w:rFonts w:ascii="PT Astra Serif" w:hAnsi="PT Astra Serif" w:eastAsiaTheme="minorHAnsi" w:cstheme="minorBidi"/>
          <w:sz w:val="24"/>
          <w:szCs w:val="24"/>
        </w:rPr>
      </w:r>
    </w:p>
    <w:p>
      <w:pPr>
        <w:contextualSpacing/>
        <w:jc w:val="center"/>
        <w:spacing w:after="200" w:line="276" w:lineRule="auto"/>
        <w:widowControl/>
        <w:rPr>
          <w:rFonts w:ascii="PT Astra Serif" w:hAnsi="PT Astra Serif" w:eastAsiaTheme="minorHAnsi" w:cstheme="minorBidi"/>
          <w:sz w:val="24"/>
          <w:szCs w:val="24"/>
          <w:highlight w:val="white"/>
        </w:rPr>
      </w:pPr>
      <w:r>
        <w:rPr>
          <w:rFonts w:ascii="PT Astra Serif" w:hAnsi="PT Astra Serif" w:eastAsiaTheme="minorHAnsi" w:cstheme="minorBidi"/>
          <w:sz w:val="24"/>
          <w:szCs w:val="24"/>
          <w:highlight w:val="white"/>
          <w:lang w:eastAsia="en-US"/>
        </w:rPr>
        <w:t xml:space="preserve">Сводная информация об объемах государственных услуг (работ), оказываемых (выполняемых) областными государственными учреждениями в соответствии с государственным заданием, в рамках реализации комплекса процессных мероприятий </w:t>
      </w:r>
      <w:r>
        <w:rPr>
          <w:rFonts w:ascii="PT Astra Serif" w:hAnsi="PT Astra Serif" w:eastAsiaTheme="minorHAnsi" w:cstheme="minorBidi"/>
          <w:sz w:val="24"/>
          <w:szCs w:val="24"/>
          <w:highlight w:val="white"/>
        </w:rPr>
        <w:t xml:space="preserve">(КПМ)</w:t>
      </w:r>
      <w:r>
        <w:rPr>
          <w:rFonts w:ascii="PT Astra Serif" w:hAnsi="PT Astra Serif" w:eastAsiaTheme="minorHAnsi" w:cstheme="minorBidi"/>
          <w:sz w:val="24"/>
          <w:szCs w:val="24"/>
          <w:highlight w:val="white"/>
        </w:rPr>
      </w:r>
      <w:r>
        <w:rPr>
          <w:rFonts w:ascii="PT Astra Serif" w:hAnsi="PT Astra Serif" w:eastAsiaTheme="minorHAnsi" w:cstheme="minorBidi"/>
          <w:sz w:val="24"/>
          <w:szCs w:val="24"/>
          <w:highlight w:val="white"/>
        </w:rPr>
      </w:r>
    </w:p>
    <w:p>
      <w:pPr>
        <w:contextualSpacing/>
        <w:jc w:val="center"/>
        <w:spacing w:after="200" w:line="276" w:lineRule="auto"/>
        <w:widowControl/>
        <w:rPr>
          <w:rFonts w:ascii="PT Astra Serif" w:hAnsi="PT Astra Serif" w:eastAsiaTheme="minorHAnsi" w:cstheme="minorBidi"/>
          <w:sz w:val="24"/>
          <w:szCs w:val="24"/>
          <w:highlight w:val="white"/>
        </w:rPr>
      </w:pPr>
      <w:r>
        <w:rPr>
          <w:rFonts w:ascii="PT Astra Serif" w:hAnsi="PT Astra Serif" w:eastAsiaTheme="minorHAnsi" w:cstheme="minorBidi"/>
          <w:sz w:val="24"/>
          <w:szCs w:val="24"/>
          <w:highlight w:val="white"/>
          <w:lang w:eastAsia="en-US"/>
        </w:rPr>
        <w:t xml:space="preserve">«Рациональное использование государственного имущества Томской области»</w:t>
      </w:r>
      <w:r>
        <w:rPr>
          <w:rFonts w:ascii="PT Astra Serif" w:hAnsi="PT Astra Serif" w:eastAsiaTheme="minorHAnsi" w:cstheme="minorBidi"/>
          <w:sz w:val="24"/>
          <w:szCs w:val="24"/>
          <w:highlight w:val="white"/>
        </w:rPr>
      </w:r>
      <w:r>
        <w:rPr>
          <w:rFonts w:ascii="PT Astra Serif" w:hAnsi="PT Astra Serif" w:eastAsiaTheme="minorHAnsi" w:cstheme="minorBidi"/>
          <w:sz w:val="24"/>
          <w:szCs w:val="24"/>
          <w:highlight w:val="white"/>
        </w:rPr>
      </w:r>
    </w:p>
    <w:p>
      <w:pPr>
        <w:contextualSpacing/>
        <w:jc w:val="center"/>
        <w:spacing w:after="200" w:line="276" w:lineRule="auto"/>
        <w:widowControl/>
        <w:rPr>
          <w:rFonts w:ascii="PT Astra Serif" w:hAnsi="PT Astra Serif" w:eastAsiaTheme="minorHAnsi" w:cstheme="minorBidi"/>
          <w:sz w:val="26"/>
          <w:szCs w:val="26"/>
          <w:highlight w:val="white"/>
        </w:rPr>
      </w:pP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</w:p>
    <w:tbl>
      <w:tblPr>
        <w:tblW w:w="1517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711"/>
        <w:gridCol w:w="2125"/>
        <w:gridCol w:w="1560"/>
        <w:gridCol w:w="1843"/>
        <w:gridCol w:w="1559"/>
        <w:gridCol w:w="1134"/>
        <w:gridCol w:w="1132"/>
        <w:gridCol w:w="2"/>
        <w:gridCol w:w="990"/>
        <w:gridCol w:w="2"/>
        <w:gridCol w:w="849"/>
        <w:gridCol w:w="992"/>
        <w:gridCol w:w="2"/>
        <w:gridCol w:w="851"/>
      </w:tblGrid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№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п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/п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Наименование государственной услуги (работы)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Содержание государственной услуги (работы)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Условия оказания государственной услуги (выполнения работы)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Областные государственные учреждения, оказывающие государственную услугу (выполняющие работу)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Наименование и единица измерения показателей объема государственной услуги (работы)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Значения показателя объема государственной услуги (работы)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Объем бюджетных ассигнований (тыс. руб.)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center"/>
            <w:vMerge w:val="continue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5" w:type="dxa"/>
            <w:vAlign w:val="center"/>
            <w:vMerge w:val="continue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2024 год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2025 год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2026 год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49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2024 год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2025 год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2026 год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1.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1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752" w:type="dxa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Государственные услуги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>
          <w:trHeight w:val="6914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1.1.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Предоставление во владение и пользование отдельным категориям граждан жилых помещений в Доме ветеранов, а также находящегося в них имущества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5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Прием, обработка заявлений о принятии на учет граждан, нуждающихся в жилых помещениях, и прилагаемых к заявлению документов; уведомление граждан, состоящих на учете и ну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ждающихся в жилых помещениях, о наличии свободных жилых помещений; прием, обработка заявлений о предоставлении в пользование жилого помещения; принятие решения о предоставлении в пользование жилого помещения или об отказе в предоставлении жилого помещения;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 обеспечение содержания в надлежащем состоянии предоставляемого в пользование имущества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Не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установлены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ОГБСУ «Областное имущественное казначейство»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spacing w:after="200"/>
              <w:widowControl/>
              <w:tabs>
                <w:tab w:val="center" w:pos="769" w:leader="none"/>
              </w:tabs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Количество граждан, с которыми заключен договор безвозмездного пользования жилыми помещениями в Доме ветеранов (человек)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217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217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217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49" w:type="dxa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1 734,2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 727,9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 721,8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>
          <w:trHeight w:val="578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1.2.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Рассмотрение заявлений об установлении кадастровой стоимости объекта недвижимости в размере его рыночной стоимости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5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Прием, обработка заявлений об установлении кадастровой стоимости объекта недвижимости в размере его рыночной стоимости и прилагаемых к заявлению документов; уведомление заявителей о приеме заявления или об о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тказе в приеме заявления об установлении кадастровой стоимости объекта недвижимости в размере его рыночной стоимости; принятие решения об установлении или об отказе в установлении кадастровой стоимости объекта недвижимости в размере его рыночной стоимости;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 установление кадастровой стоимости объекта недвижимости в размере его рыночной стоимости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В бумажном виде, в электронном виде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spacing w:after="200"/>
              <w:widowControl/>
              <w:tabs>
                <w:tab w:val="center" w:pos="911" w:leader="none"/>
              </w:tabs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ab/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Количество поступивших заявлений (штук)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500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250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250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49" w:type="dxa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7 493,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7 493,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7 493,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2.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1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752" w:type="dxa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Государственные работы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2.1.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Содержание (эксплуатация) помещений специализированного жилищного фонда Томской области и прилегающей территории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5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Обеспечение эксплуатационно-технического обслуживания помещений (нежилые помещения, помещения общего пользования и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временно пустующие жилые помещения специализированного жилищного фонда Томской области), а также оплата коммунальных услуг за указанные помещения и содержание указанных помещений и входящего в них оборудования, прилегающей территории в надлежащем состоянии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Не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установлены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ОГБСУ «Областное имущественное казначейство»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spacing w:after="200"/>
              <w:widowControl/>
              <w:tabs>
                <w:tab w:val="center" w:pos="769" w:leader="none"/>
              </w:tabs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Эксплуатируемая площадь помещений и прилегающей территории (тыс. кв. м)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21,6259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21,6259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21,6259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 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74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4,2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 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74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4,2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 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74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4,2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2.2.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textDirection w:val="lrTb"/>
            <w:noWrap w:val="false"/>
          </w:tcPr>
          <w:p>
            <w:pPr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Предоставление копий технических паспортов, оценочной и иной хранившейся по состоянию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на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5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Прием, регистрация, рассмотрение запроса о предоставлении копий технических паспортов, оценочной и иной хранившейся по состоянию на 1 января 2013 года в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органах и организациях по государственному техническому учету и (или) технической инвентаризации учетно-технич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еской документации об объектах государственного технического учета и технической инвентаризации (регистрационные книги, реестры, копии правоустанавливающих документов и прочее), являющихся собственностью Томской области, а также содержащихся в них сведений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; принятие решения по результатам рассмотрения запроса; подготовка и направление (выдача): отказа в предоставлении копий документации и (или) сведений; копий документации и (или) сведений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В бумажном виде, в электронном виде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ОГБУ «Томский областной центр инвентаризации и кадастра»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Количество предоставленных документов (штук)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3 000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3 000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3 000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3 287,7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 3 287,7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 3 287,7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>
          <w:trHeight w:val="67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2.3.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textDirection w:val="lrTb"/>
            <w:noWrap w:val="false"/>
          </w:tcPr>
          <w:p>
            <w:pPr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Постоянное хранение технических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паспортов, оценочной и иной хранившейся по состоянию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на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5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Обеспечение физической сохранности,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обновление, пополнение, уточнение технических паспортов, оценочной и ино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Не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установлены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ОГБУ «Томский областной центр инвентаризации и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кадастра»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Количество документов, подлежащих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хранению (штук)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143 990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143 990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143 990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2 168,8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2 168,8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2 168,8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>
          <w:trHeight w:val="67"/>
        </w:trPr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426" w:type="dxa"/>
            <w:vMerge w:val="restart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2.4.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1711" w:type="dxa"/>
            <w:vMerge w:val="restart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Определение кадастровой стоимости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5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Определение кадастровой стоимости объектов недвижимости в рамках государственной кадастровой оценки, в том числе определение кадастровой стоимости вновь учтенных объектов недвижимости, ранее учтенных объектов недвижимости в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случае внесения в единый государственный реестр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 недвижимости сведений о них и объектов недвижимости, в отношении которых произошло изменение их количественных и (или) качественных характеристик, предоставление разъяснений, связанных с определением кадастровой стоимости, рассмотрение замечаний к проекту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 отчета об итогах государственной кадастровой оценки, рассмотрение заявлений об исправлении ошибок, допущенных при определении кадастровой стоимости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В бумажном виде, в электронном виде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Количество объектов недвижимости, для которых определена кадастровая стоимость (штук)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200 000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200 000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200 000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11 111,1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11 111,1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11 111,1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>
          <w:trHeight w:val="6489"/>
        </w:trPr>
        <w:tc>
          <w:tcPr>
            <w:tcBorders>
              <w:left w:val="single" w:color="000000" w:sz="8" w:space="0"/>
              <w:right w:val="single" w:color="000000" w:sz="8" w:space="0"/>
            </w:tcBorders>
            <w:tcW w:w="426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left w:val="single" w:color="000000" w:sz="8" w:space="0"/>
              <w:right w:val="single" w:color="000000" w:sz="8" w:space="0"/>
            </w:tcBorders>
            <w:tcW w:w="171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5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Сбор, обработка, систематизация и накопление информации об объектах недвижимости, необходимой для определения кадастров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ой стоимости, в том числе о данных рынка недвижимости, а также информации, использованной при проведении государственной кадастровой оценки и формируемой в результате ее проведения, в том числе рассмотрение деклараций о характеристиках объекта недвижимости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В бумажном виде, в электронном виде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Количество объектов, в отношении которых осуществляется сбор, обработка и накопление информации (штук)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220 000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220 000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220 000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12 194,0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12 194,0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12 194,0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>
          <w:trHeight w:val="5623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5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Хранение копий документов и матер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иалов в отношении объектов недвижимого имущества, которые были использованы при определении кадастровой стоимости, а также хранение отчетов об итогах государственной кадастровой оценки и иных документов, формируемых в ходе определения кадастровой стоимости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В бумажном виде, в электронном виде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Количество хранимых документов (штук)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125 000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150 000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175 000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5 428,7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5 428,7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5 428,7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>
          <w:trHeight w:val="394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2.5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Merge w:val="restart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Управление эксплуатацией объектов государственного имущества Томской области, переданных в безвозмездное пользование органам государственной власти, иным государственным органам для обеспечения их деятельности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5" w:type="dxa"/>
            <w:vMerge w:val="restart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Обеспечение эксплуатационно-технического обслуживания объектов государственного имущества Томской области, переданных в безвозмездное пользование органам государственной власти, иным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 государственным органам для обеспечения их деятельности, а также оплата коммунальных услуг, услуг по обращению с твердыми коммунальными отходами, услуг охраны, оплата земельного налога и налога на имущество организаций за указанные объекты и содержание в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надлежащем состоянии указанных объектов и прилегающей к ним территории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Не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установлены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left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ОГБСУ «Областное имущественное казначейство»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  <w:p>
            <w:pPr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Эксплуатируемая площадь зданий и прилегающей территории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(тыс. кв. м)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28,77005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2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28,77005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28,77005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12 859,4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13 120,6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13 380,5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</w:tr>
      <w:tr>
        <w:trPr/>
        <w:tc>
          <w:tcPr>
            <w:gridSpan w:val="10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2482" w:type="dxa"/>
            <w:textDirection w:val="lrTb"/>
            <w:noWrap w:val="false"/>
          </w:tcPr>
          <w:p>
            <w:pPr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Затраты на уплату налогов, в качестве объекта налогообложения по которым признается имущество областных государственных учреждений 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3 116,9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 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3 116,9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3 116,9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</w:tr>
      <w:tr>
        <w:trPr/>
        <w:tc>
          <w:tcPr>
            <w:gridSpan w:val="10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2482" w:type="dxa"/>
            <w:textDirection w:val="lrTb"/>
            <w:noWrap w:val="false"/>
          </w:tcPr>
          <w:p>
            <w:pPr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Итого 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61 138,5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 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61 393,4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61 647,2»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</w:tr>
    </w:tbl>
    <w:p>
      <w:pPr>
        <w:ind w:firstLine="539"/>
        <w:jc w:val="center"/>
        <w:widowControl/>
        <w:rPr>
          <w:rFonts w:ascii="PT Astra Serif" w:hAnsi="PT Astra Serif" w:eastAsiaTheme="minorHAnsi"/>
          <w:sz w:val="26"/>
          <w:szCs w:val="26"/>
          <w:highlight w:val="white"/>
        </w:rPr>
      </w:pPr>
      <w:r>
        <w:rPr>
          <w:rFonts w:ascii="PT Astra Serif" w:hAnsi="PT Astra Serif" w:eastAsiaTheme="minorHAnsi"/>
          <w:sz w:val="26"/>
          <w:szCs w:val="26"/>
          <w:highlight w:val="whit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</w:p>
    <w:p>
      <w:pPr>
        <w:ind w:firstLine="539"/>
        <w:jc w:val="center"/>
        <w:widowControl/>
        <w:rPr>
          <w:rFonts w:ascii="PT Astra Serif" w:hAnsi="PT Astra Serif" w:eastAsiaTheme="minorHAnsi"/>
          <w:sz w:val="26"/>
          <w:szCs w:val="26"/>
          <w:highlight w:val="white"/>
        </w:rPr>
        <w:sectPr>
          <w:footnotePr/>
          <w:endnotePr/>
          <w:type w:val="continuous"/>
          <w:pgSz w:w="16838" w:h="11906" w:orient="landscape"/>
          <w:pgMar w:top="1134" w:right="567" w:bottom="1134" w:left="1134" w:header="567" w:footer="567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 w:eastAsiaTheme="minorHAnsi"/>
          <w:sz w:val="26"/>
          <w:szCs w:val="26"/>
          <w:highlight w:val="whit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  <w:lang w:eastAsia="en-US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t xml:space="preserve">Приложение 2</w:t>
      </w:r>
      <w:r>
        <w:rPr>
          <w:rFonts w:ascii="PT Astra Serif" w:hAnsi="PT Astra Serif" w:eastAsiaTheme="minorHAnsi"/>
          <w:sz w:val="26"/>
          <w:szCs w:val="26"/>
          <w:highlight w:val="non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none"/>
          <w:lang w:eastAsia="en-US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</w:rPr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t xml:space="preserve">к распоряжению Департамента по управлению государственной собственностью Томской области</w:t>
      </w:r>
      <w:r>
        <w:rPr>
          <w:rFonts w:ascii="PT Astra Serif" w:hAnsi="PT Astra Serif" w:eastAsiaTheme="minorHAnsi"/>
          <w:sz w:val="26"/>
          <w:szCs w:val="26"/>
          <w:highlight w:val="whit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</w:p>
    <w:p>
      <w:pPr>
        <w:ind w:left="10773"/>
        <w:widowControl/>
        <w:rPr>
          <w:rFonts w:ascii="PT Astra Serif" w:hAnsi="PT Astra Serif" w:eastAsiaTheme="minorHAnsi"/>
          <w:sz w:val="26"/>
          <w:szCs w:val="26"/>
          <w:highlight w:val="white"/>
        </w:rPr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t xml:space="preserve">от _______________№ ___________</w:t>
      </w:r>
      <w:r>
        <w:rPr>
          <w:rFonts w:ascii="PT Astra Serif" w:hAnsi="PT Astra Serif" w:eastAsiaTheme="minorHAnsi"/>
          <w:sz w:val="26"/>
          <w:szCs w:val="26"/>
          <w:highlight w:val="whit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  <w:lang w:eastAsia="en-US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non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none"/>
          <w:lang w:eastAsia="en-US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none"/>
          <w:lang w:eastAsia="en-US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  <w:lang w:eastAsia="en-US"/>
        </w:rPr>
        <w:t xml:space="preserve">«</w:t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t xml:space="preserve">Приложение 2</w:t>
      </w:r>
      <w:r>
        <w:rPr>
          <w:rFonts w:ascii="PT Astra Serif" w:hAnsi="PT Astra Serif" w:eastAsiaTheme="minorHAnsi"/>
          <w:sz w:val="26"/>
          <w:szCs w:val="26"/>
          <w:highlight w:val="non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none"/>
          <w:lang w:eastAsia="en-US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</w:rPr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t xml:space="preserve">к распоряжению Департамента по управлению государственной собственностью Томской области</w:t>
      </w:r>
      <w:r>
        <w:rPr>
          <w:rFonts w:ascii="PT Astra Serif" w:hAnsi="PT Astra Serif" w:eastAsiaTheme="minorHAnsi"/>
          <w:sz w:val="26"/>
          <w:szCs w:val="26"/>
          <w:highlight w:val="whit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</w:p>
    <w:p>
      <w:pPr>
        <w:ind w:left="10773"/>
        <w:widowControl/>
        <w:rPr>
          <w:rFonts w:ascii="PT Astra Serif" w:hAnsi="PT Astra Serif" w:eastAsiaTheme="minorHAnsi"/>
          <w:sz w:val="26"/>
          <w:szCs w:val="26"/>
          <w:highlight w:val="white"/>
        </w:rPr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t xml:space="preserve">от _______________№ ___________</w:t>
      </w:r>
      <w:r>
        <w:rPr>
          <w:rFonts w:ascii="PT Astra Serif" w:hAnsi="PT Astra Serif" w:eastAsiaTheme="minorHAnsi"/>
          <w:sz w:val="26"/>
          <w:szCs w:val="26"/>
          <w:highlight w:val="whit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</w:p>
    <w:p>
      <w:pPr>
        <w:ind w:left="10773"/>
        <w:widowControl/>
        <w:rPr>
          <w:rFonts w:ascii="PT Astra Serif" w:hAnsi="PT Astra Serif" w:eastAsiaTheme="minorHAnsi"/>
          <w:sz w:val="26"/>
          <w:szCs w:val="26"/>
          <w:highlight w:val="white"/>
        </w:rPr>
      </w:pPr>
      <w:r>
        <w:rPr>
          <w:rFonts w:ascii="PT Astra Serif" w:hAnsi="PT Astra Serif" w:eastAsiaTheme="minorHAnsi"/>
          <w:sz w:val="26"/>
          <w:szCs w:val="26"/>
          <w:highlight w:val="whit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</w:p>
    <w:p>
      <w:pPr>
        <w:jc w:val="center"/>
        <w:widowControl/>
        <w:rPr>
          <w:rFonts w:ascii="PT Astra Serif" w:hAnsi="PT Astra Serif" w:eastAsiaTheme="minorHAnsi"/>
          <w:sz w:val="26"/>
          <w:szCs w:val="26"/>
          <w:highlight w:val="white"/>
        </w:rPr>
      </w:pPr>
      <w:r>
        <w:rPr>
          <w:rFonts w:ascii="PT Astra Serif" w:hAnsi="PT Astra Serif" w:eastAsiaTheme="minorHAnsi"/>
          <w:sz w:val="26"/>
          <w:szCs w:val="26"/>
          <w:highlight w:val="whit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</w:p>
    <w:p>
      <w:pPr>
        <w:contextualSpacing/>
        <w:jc w:val="center"/>
        <w:rPr>
          <w:rFonts w:ascii="PT Astra Serif" w:hAnsi="PT Astra Serif"/>
          <w:color w:val="000000"/>
          <w:sz w:val="26"/>
          <w:szCs w:val="26"/>
          <w:highlight w:val="white"/>
        </w:rPr>
      </w:pPr>
      <w:r>
        <w:rPr>
          <w:rFonts w:ascii="PT Astra Serif" w:hAnsi="PT Astra Serif"/>
          <w:color w:val="000000"/>
          <w:sz w:val="26"/>
          <w:szCs w:val="26"/>
          <w:highlight w:val="white"/>
        </w:rPr>
        <w:t xml:space="preserve">ПАСПОРТ </w:t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</w:p>
    <w:p>
      <w:pPr>
        <w:contextualSpacing/>
        <w:jc w:val="center"/>
        <w:rPr>
          <w:rFonts w:ascii="PT Astra Serif" w:hAnsi="PT Astra Serif"/>
          <w:color w:val="000000"/>
          <w:sz w:val="26"/>
          <w:szCs w:val="26"/>
          <w:highlight w:val="white"/>
        </w:rPr>
      </w:pPr>
      <w:r>
        <w:rPr>
          <w:rFonts w:ascii="PT Astra Serif" w:hAnsi="PT Astra Serif"/>
          <w:color w:val="000000"/>
          <w:sz w:val="26"/>
          <w:szCs w:val="26"/>
          <w:highlight w:val="white"/>
        </w:rPr>
        <w:t xml:space="preserve">Комплекса процессных мероприятий</w:t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</w:p>
    <w:p>
      <w:pPr>
        <w:jc w:val="center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«Приватизация областного государственного имущества»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jc w:val="center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jc w:val="center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Основные положения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jc w:val="center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tbl>
      <w:tblPr>
        <w:tblStyle w:val="888"/>
        <w:tblW w:w="15336" w:type="dxa"/>
        <w:jc w:val="center"/>
        <w:tblInd w:w="-8016" w:type="dxa"/>
        <w:tblLook w:val="04A0" w:firstRow="1" w:lastRow="0" w:firstColumn="1" w:lastColumn="0" w:noHBand="0" w:noVBand="1"/>
      </w:tblPr>
      <w:tblGrid>
        <w:gridCol w:w="6085"/>
        <w:gridCol w:w="9251"/>
      </w:tblGrid>
      <w:tr>
        <w:trPr>
          <w:jc w:val="center"/>
        </w:trPr>
        <w:tc>
          <w:tcPr>
            <w:tcW w:w="6085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Ответственный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за выполнение комплекса процессных мероприятий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925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Департамент по управлению государственной собственностью Томской области                           (далее – ДУГС ТО)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>
          <w:jc w:val="center"/>
          <w:trHeight w:val="302"/>
        </w:trPr>
        <w:tc>
          <w:tcPr>
            <w:tcW w:w="6085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Связь с государственной программой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925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Государственная программа «Эффективное управление государственным имуществом Томской области»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>
          <w:jc w:val="center"/>
        </w:trPr>
        <w:tc>
          <w:tcPr>
            <w:tcW w:w="6085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Подпрограмма (направление) государственной программы Томской области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9251" w:type="dxa"/>
            <w:textDirection w:val="lrTb"/>
            <w:noWrap w:val="false"/>
          </w:tcPr>
          <w:p>
            <w:pPr>
              <w:ind w:firstLine="45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Подпрограмма (направление) государственной программы «Управление государственным имуществом Томской области»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</w:tbl>
    <w:p>
      <w:pPr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jc w:val="center"/>
        <w:rPr>
          <w:rFonts w:ascii="PT Astra Serif" w:hAnsi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/>
          <w:color w:val="000000" w:themeColor="text1"/>
          <w:sz w:val="24"/>
          <w:szCs w:val="24"/>
          <w:highlight w:val="white"/>
        </w:rPr>
        <w:t xml:space="preserve">Показатели комплекса процессных мероприятий</w:t>
      </w:r>
      <w:r>
        <w:rPr>
          <w:rFonts w:ascii="PT Astra Serif" w:hAnsi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/>
          <w:color w:val="000000" w:themeColor="text1"/>
          <w:sz w:val="24"/>
          <w:szCs w:val="24"/>
          <w:highlight w:val="white"/>
        </w:rPr>
      </w:r>
    </w:p>
    <w:p>
      <w:pPr>
        <w:jc w:val="center"/>
        <w:rPr>
          <w:rFonts w:ascii="PT Astra Serif" w:hAnsi="PT Astra Serif"/>
          <w:b/>
          <w:color w:val="000000" w:themeColor="text1"/>
          <w:sz w:val="26"/>
          <w:szCs w:val="26"/>
          <w:highlight w:val="white"/>
          <w:vertAlign w:val="superscript"/>
        </w:rPr>
      </w:pPr>
      <w:r>
        <w:rPr>
          <w:rFonts w:ascii="PT Astra Serif" w:hAnsi="PT Astra Serif"/>
          <w:b/>
          <w:color w:val="000000" w:themeColor="text1"/>
          <w:sz w:val="26"/>
          <w:szCs w:val="26"/>
          <w:highlight w:val="white"/>
          <w:vertAlign w:val="superscript"/>
        </w:rPr>
      </w:r>
      <w:r>
        <w:rPr>
          <w:rFonts w:ascii="PT Astra Serif" w:hAnsi="PT Astra Serif"/>
          <w:b/>
          <w:color w:val="000000" w:themeColor="text1"/>
          <w:sz w:val="26"/>
          <w:szCs w:val="26"/>
          <w:highlight w:val="white"/>
          <w:vertAlign w:val="superscript"/>
        </w:rPr>
      </w:r>
      <w:r>
        <w:rPr>
          <w:rFonts w:ascii="PT Astra Serif" w:hAnsi="PT Astra Serif"/>
          <w:b/>
          <w:color w:val="000000" w:themeColor="text1"/>
          <w:sz w:val="26"/>
          <w:szCs w:val="26"/>
          <w:highlight w:val="white"/>
          <w:vertAlign w:val="superscript"/>
        </w:rPr>
      </w:r>
    </w:p>
    <w:tbl>
      <w:tblPr>
        <w:tblStyle w:val="888"/>
        <w:tblpPr w:horzAnchor="text" w:tblpX="-68" w:vertAnchor="text" w:tblpY="1" w:leftFromText="180" w:topFromText="0" w:rightFromText="180" w:bottomFromText="0"/>
        <w:tblW w:w="15417" w:type="dxa"/>
        <w:tblLayout w:type="fixed"/>
        <w:tblLook w:val="04A0" w:firstRow="1" w:lastRow="0" w:firstColumn="1" w:lastColumn="0" w:noHBand="0" w:noVBand="1"/>
      </w:tblPr>
      <w:tblGrid>
        <w:gridCol w:w="527"/>
        <w:gridCol w:w="1632"/>
        <w:gridCol w:w="1361"/>
        <w:gridCol w:w="1441"/>
        <w:gridCol w:w="1441"/>
        <w:gridCol w:w="1330"/>
        <w:gridCol w:w="1089"/>
        <w:gridCol w:w="1127"/>
        <w:gridCol w:w="1219"/>
        <w:gridCol w:w="1330"/>
        <w:gridCol w:w="1219"/>
        <w:gridCol w:w="1701"/>
      </w:tblGrid>
      <w:tr>
        <w:trPr>
          <w:trHeight w:val="245"/>
        </w:trPr>
        <w:tc>
          <w:tcPr>
            <w:tcW w:w="52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№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/п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Наименование показателя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361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Уровень достижения показателя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441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Признак возрастания/убывания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44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Ответственный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 за достижение показателя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330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Единица измерения (по ОКЕИ)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89" w:type="dxa"/>
            <w:vAlign w:val="center"/>
            <w:vMerge w:val="restart"/>
            <w:textDirection w:val="lrTb"/>
            <w:noWrap w:val="false"/>
          </w:tcPr>
          <w:p>
            <w:pPr>
              <w:ind w:firstLine="33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Базовое значение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ind w:firstLine="33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2023 год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gridSpan w:val="5"/>
            <w:tcW w:w="65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Планируемое значение показателя (показателя задачи)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44"/>
        </w:trPr>
        <w:tc>
          <w:tcPr>
            <w:tcW w:w="52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632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36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4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44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330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089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127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2024 год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219" w:type="dxa"/>
            <w:vAlign w:val="center"/>
            <w:textDirection w:val="lrTb"/>
            <w:noWrap w:val="false"/>
          </w:tcPr>
          <w:p>
            <w:pPr>
              <w:ind w:firstLine="33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2025 год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330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2026 год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219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Прогнозный период 2027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год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Прогнозный период 2028 год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76"/>
        </w:trPr>
        <w:tc>
          <w:tcPr>
            <w:gridSpan w:val="12"/>
            <w:tcW w:w="1541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Формирование механизмов эффективного вовлечения в хозяйственный оборот государственного имущества Томской области, в том числе земельных участков, не используемого субъектом Российской Федерации - Томской областью для осуществления своих полномочий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tcW w:w="5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1.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32" w:type="dxa"/>
            <w:textDirection w:val="lrTb"/>
            <w:noWrap w:val="false"/>
          </w:tcPr>
          <w:p>
            <w:pPr>
              <w:rPr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Доля имущества Томской области, реализованного в порядке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приватизации, от общего объема имущества, составляющего Казну Томской области, по состоянию на последнюю календарную дату года, предшествующего году осуществления приватизации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36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ГП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441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Возраста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ющий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441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330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Процент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1,04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112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1,05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121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1,06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133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1,07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121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1,08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1,09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</w:tr>
      <w:tr>
        <w:trPr>
          <w:trHeight w:val="253"/>
        </w:trPr>
        <w:tc>
          <w:tcPr>
            <w:tcW w:w="52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2.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3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Доля проведенных торгов в отношении имущества Томской области, включенного в прогнозный план (программу) приватизации государственного имущества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Томской области на плановый период и выставленного на продажу, от общего объема имущества, включенного в прогнозный план (программу) приватизации государственного имущества Томской области на плановый период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  <w:p>
            <w:pPr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36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ГП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44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Возрастание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44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33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Процент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8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100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12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100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21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100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33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100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21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100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100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</w:tbl>
    <w:p>
      <w:pPr>
        <w:jc w:val="center"/>
        <w:rPr>
          <w:rFonts w:ascii="PT Astra Serif" w:hAnsi="PT Astra Serif"/>
          <w:b/>
          <w:color w:val="000000"/>
          <w:sz w:val="26"/>
          <w:szCs w:val="26"/>
          <w:highlight w:val="white"/>
        </w:rPr>
      </w:pPr>
      <w:r>
        <w:rPr>
          <w:rFonts w:ascii="PT Astra Serif" w:hAnsi="PT Astra Serif"/>
          <w:b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b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b/>
          <w:color w:val="000000"/>
          <w:sz w:val="26"/>
          <w:szCs w:val="26"/>
          <w:highlight w:val="white"/>
        </w:rPr>
      </w:r>
    </w:p>
    <w:p>
      <w:pPr>
        <w:jc w:val="center"/>
        <w:spacing w:after="200" w:line="276" w:lineRule="auto"/>
        <w:widowControl/>
        <w:rPr>
          <w:rFonts w:ascii="PT Astra Serif" w:hAnsi="PT Astra Serif" w:cs="PT Astra Serif" w:eastAsiaTheme="minorHAnsi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cs="PT Astra Serif" w:eastAsiaTheme="minorHAnsi"/>
          <w:color w:val="000000" w:themeColor="text1"/>
          <w:sz w:val="24"/>
          <w:szCs w:val="24"/>
          <w:highlight w:val="none"/>
          <w:lang w:eastAsia="en-US"/>
        </w:rPr>
      </w:r>
      <w:r>
        <w:rPr>
          <w:rFonts w:ascii="PT Astra Serif" w:hAnsi="PT Astra Serif" w:cs="PT Astra Serif" w:eastAsiaTheme="minorHAnsi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 w:eastAsiaTheme="minorHAnsi"/>
          <w:color w:val="000000" w:themeColor="text1"/>
          <w:sz w:val="24"/>
          <w:szCs w:val="24"/>
          <w:highlight w:val="white"/>
        </w:rPr>
      </w:r>
    </w:p>
    <w:p>
      <w:pPr>
        <w:jc w:val="center"/>
        <w:spacing w:after="200" w:line="276" w:lineRule="auto"/>
        <w:widowControl/>
        <w:rPr>
          <w:rFonts w:ascii="PT Astra Serif" w:hAnsi="PT Astra Serif" w:cs="PT Astra Serif" w:eastAsiaTheme="minorHAnsi"/>
          <w:color w:val="000000" w:themeColor="text1"/>
          <w:sz w:val="24"/>
          <w:szCs w:val="24"/>
          <w:highlight w:val="none"/>
          <w:lang w:eastAsia="en-US"/>
        </w:rPr>
      </w:pPr>
      <w:r>
        <w:rPr>
          <w:rFonts w:ascii="PT Astra Serif" w:hAnsi="PT Astra Serif" w:cs="PT Astra Serif" w:eastAsiaTheme="minorHAnsi"/>
          <w:color w:val="000000" w:themeColor="text1"/>
          <w:sz w:val="24"/>
          <w:szCs w:val="24"/>
          <w:highlight w:val="white"/>
          <w:lang w:eastAsia="en-US"/>
        </w:rPr>
        <w:t xml:space="preserve">План достижения показателей комплекса процессных мероприятий в 2024 финансовому году</w:t>
      </w:r>
      <w:r>
        <w:rPr>
          <w:rFonts w:ascii="PT Astra Serif" w:hAnsi="PT Astra Serif" w:cs="PT Astra Serif" w:eastAsiaTheme="minorHAnsi"/>
          <w:color w:val="000000" w:themeColor="text1"/>
          <w:sz w:val="24"/>
          <w:szCs w:val="24"/>
          <w:highlight w:val="none"/>
          <w:lang w:eastAsia="en-US"/>
        </w:rPr>
      </w:r>
      <w:r>
        <w:rPr>
          <w:rFonts w:ascii="PT Astra Serif" w:hAnsi="PT Astra Serif" w:cs="PT Astra Serif" w:eastAsiaTheme="minorHAnsi"/>
          <w:color w:val="000000" w:themeColor="text1"/>
          <w:sz w:val="24"/>
          <w:szCs w:val="24"/>
          <w:highlight w:val="none"/>
          <w:lang w:eastAsia="en-US"/>
        </w:rPr>
      </w:r>
    </w:p>
    <w:tbl>
      <w:tblPr>
        <w:tblStyle w:val="888"/>
        <w:tblW w:w="0" w:type="auto"/>
        <w:tblLook w:val="04A0" w:firstRow="1" w:lastRow="0" w:firstColumn="1" w:lastColumn="0" w:noHBand="0" w:noVBand="1"/>
      </w:tblPr>
      <w:tblGrid>
        <w:gridCol w:w="874"/>
        <w:gridCol w:w="2193"/>
        <w:gridCol w:w="1266"/>
        <w:gridCol w:w="906"/>
        <w:gridCol w:w="958"/>
        <w:gridCol w:w="932"/>
        <w:gridCol w:w="907"/>
        <w:gridCol w:w="897"/>
        <w:gridCol w:w="955"/>
        <w:gridCol w:w="951"/>
        <w:gridCol w:w="894"/>
        <w:gridCol w:w="902"/>
        <w:gridCol w:w="908"/>
        <w:gridCol w:w="897"/>
        <w:gridCol w:w="913"/>
      </w:tblGrid>
      <w:tr>
        <w:trPr>
          <w:trHeight w:val="869"/>
        </w:trPr>
        <w:tc>
          <w:tcPr>
            <w:tcW w:w="87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 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№ </w:t>
            </w: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п</w:t>
            </w: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/п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W w:w="222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Наименование показателя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  <w:p>
            <w:pPr>
              <w:widowControl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W w:w="12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Единица измерения (по ОКЕИ)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gridSpan w:val="11"/>
            <w:tcW w:w="10572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Плановые значения на конец месяца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82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На конец года</w:t>
            </w: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2024 год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415"/>
        </w:trPr>
        <w:tc>
          <w:tcPr>
            <w:tcW w:w="10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71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9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029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янв.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50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февр.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40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март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30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апр.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26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май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49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июнь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июль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25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авг.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28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сен.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36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окт.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71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нояб</w:t>
            </w: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7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rPr>
          <w:trHeight w:val="415"/>
        </w:trPr>
        <w:tc>
          <w:tcPr>
            <w:tcW w:w="10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1.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1714" w:type="dxa"/>
            <w:vMerge w:val="restart"/>
            <w:textDirection w:val="lrTb"/>
            <w:noWrap w:val="false"/>
          </w:tcPr>
          <w:p>
            <w:pPr>
              <w:rPr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Доля имущества Томской области,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реализованного в порядке приватизации, от общего объема имущества, составляющего Казну Томской области, по состоянию на последнюю календарную дату года, предшествующего году осуществления приватизации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29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Процент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1029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50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40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30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49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47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25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28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36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71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71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1,05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rPr>
          <w:trHeight w:val="415"/>
        </w:trPr>
        <w:tc>
          <w:tcPr>
            <w:tcW w:w="10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171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Доля проведенных торгов в отношении имущества Томской области, включенного в прогнозный план (программу) приватизации государственного имущества Томской области на плановый период и выставленного на продажу, от общего объема имущества,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включенного в прогнозный план (программу) приватизации государственного имущества Томской области на плановый период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129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Процент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1029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50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40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30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49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47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25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28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36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7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-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7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100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</w:tbl>
    <w:p>
      <w:pPr>
        <w:jc w:val="center"/>
        <w:rPr>
          <w:rFonts w:ascii="PT Astra Serif" w:hAnsi="PT Astra Serif"/>
          <w:color w:val="000000"/>
          <w:sz w:val="26"/>
          <w:szCs w:val="26"/>
          <w:highlight w:val="white"/>
        </w:rPr>
      </w:pP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</w:p>
    <w:p>
      <w:pPr>
        <w:jc w:val="center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jc w:val="center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  <w:t xml:space="preserve">Перечень мероприятий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jc w:val="center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tbl>
      <w:tblPr>
        <w:tblStyle w:val="888"/>
        <w:tblpPr w:horzAnchor="text" w:tblpX="-68" w:vertAnchor="text" w:tblpY="1" w:leftFromText="180" w:topFromText="0" w:rightFromText="180" w:bottomFromText="0"/>
        <w:tblW w:w="15417" w:type="dxa"/>
        <w:tblLayout w:type="fixed"/>
        <w:tblLook w:val="04A0" w:firstRow="1" w:lastRow="0" w:firstColumn="1" w:lastColumn="0" w:noHBand="0" w:noVBand="1"/>
      </w:tblPr>
      <w:tblGrid>
        <w:gridCol w:w="447"/>
        <w:gridCol w:w="1929"/>
        <w:gridCol w:w="1484"/>
        <w:gridCol w:w="2835"/>
        <w:gridCol w:w="1843"/>
        <w:gridCol w:w="1417"/>
        <w:gridCol w:w="1134"/>
        <w:gridCol w:w="850"/>
        <w:gridCol w:w="850"/>
        <w:gridCol w:w="709"/>
        <w:gridCol w:w="992"/>
        <w:gridCol w:w="927"/>
      </w:tblGrid>
      <w:tr>
        <w:trPr>
          <w:trHeight w:val="245"/>
        </w:trPr>
        <w:tc>
          <w:tcPr>
            <w:tcW w:w="44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№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п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/п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W w:w="192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Наименование мероприятия (результата)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W w:w="14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Тип мероприятия (результата)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  <w:highlight w:val="white"/>
                <w:vertAlign w:val="superscript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Характеристика мероприятия</w:t>
            </w:r>
            <w:r>
              <w:rPr>
                <w:rFonts w:ascii="PT Astra Serif" w:hAnsi="PT Astra Serif"/>
                <w:sz w:val="22"/>
                <w:szCs w:val="22"/>
                <w:highlight w:val="white"/>
                <w:vertAlign w:val="superscript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  <w:vertAlign w:val="superscript"/>
              </w:rPr>
            </w:r>
          </w:p>
        </w:tc>
        <w:tc>
          <w:tcPr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Наименование показателя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Единица измерения (по ОКЕИ)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Базовое значение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  <w:p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2023 год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gridSpan w:val="5"/>
            <w:tcW w:w="43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Планируемое значение показателя мероприятия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rPr>
          <w:trHeight w:val="244"/>
        </w:trPr>
        <w:tc>
          <w:tcPr>
            <w:tcW w:w="447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929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4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2024 год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2025 год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2026 год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Прогнозный период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  <w:p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2027 год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W w:w="927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Прогнозный период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  <w:p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2028 год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W w:w="447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  <w:lang w:val="en-US"/>
              </w:rPr>
              <w:t xml:space="preserve">1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W w:w="192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Осуществление комплекса мероприятий, направленных на обеспечение процедур приватизации областного государственного имущества Томской области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W w:w="14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  <w:t xml:space="preserve">Осуществление текущей деятельности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Проведение независимой оценки рыночной стоимо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сти объектов государственного имущества Томской области, подлежащих приватизации; проведение аудита областных государственных унитарных предприятий, подлежащих приватизации; размещение информационного сообщения о продаже государственного имущества Томской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области в средствах массовой информации и информационно-телекоммуникационной сети «Интернет»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; уплата налога на добавленную стоимость от приватизации объектов государственного имущества Томской области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tabs>
                <w:tab w:val="left" w:pos="1105" w:leader="none"/>
              </w:tabs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Количество объектов государственного имущества Томской области, в отношении которых проведена оценка (включая земельные участки)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Единица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8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8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8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8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8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2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8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</w:tbl>
    <w:p>
      <w:pPr>
        <w:jc w:val="center"/>
        <w:rPr>
          <w:rFonts w:ascii="PT Astra Serif" w:hAnsi="PT Astra Serif"/>
          <w:b/>
          <w:bCs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b/>
          <w:bCs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b/>
          <w:bCs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b/>
          <w:bCs/>
          <w:color w:val="000000"/>
          <w:sz w:val="24"/>
          <w:szCs w:val="24"/>
          <w:highlight w:val="white"/>
        </w:rPr>
      </w:r>
    </w:p>
    <w:p>
      <w:pPr>
        <w:jc w:val="center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  <w:t xml:space="preserve">Финансовое обеспечение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jc w:val="center"/>
        <w:rPr>
          <w:rFonts w:ascii="PT Astra Serif" w:hAnsi="PT Astra Serif"/>
          <w:color w:val="000000"/>
          <w:sz w:val="26"/>
          <w:szCs w:val="26"/>
          <w:highlight w:val="white"/>
        </w:rPr>
      </w:pP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</w:p>
    <w:tbl>
      <w:tblPr>
        <w:tblStyle w:val="888"/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954"/>
        <w:gridCol w:w="1559"/>
        <w:gridCol w:w="1560"/>
        <w:gridCol w:w="1984"/>
        <w:gridCol w:w="1418"/>
        <w:gridCol w:w="1559"/>
        <w:gridCol w:w="1417"/>
      </w:tblGrid>
      <w:tr>
        <w:trPr/>
        <w:tc>
          <w:tcPr>
            <w:tcW w:w="5954" w:type="dxa"/>
            <w:vMerge w:val="restart"/>
            <w:textDirection w:val="lrTb"/>
            <w:noWrap w:val="false"/>
          </w:tcPr>
          <w:p>
            <w:pPr>
              <w:ind w:left="34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  <w:p>
            <w:pPr>
              <w:ind w:left="34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Наименование мероприятия / источник финансового обеспечения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  <w:p>
            <w:pPr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ГРБС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gridSpan w:val="5"/>
            <w:tcW w:w="79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Объем финансового обеспечения (тыс. руб.)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W w:w="595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2024 год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2025 год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ind w:hanging="5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2026 год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ind w:hanging="5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Прогнозный период 2027 год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ind w:hanging="5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Прогнозный период 2028 год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rPr>
          <w:trHeight w:val="502"/>
        </w:trPr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/>
                <w:i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i/>
                <w:sz w:val="22"/>
                <w:szCs w:val="22"/>
                <w:highlight w:val="white"/>
              </w:rPr>
              <w:t xml:space="preserve">Комплекс процессных мероприятий «Приватизация областного государственного имущества Томской области» (всего), </w:t>
            </w:r>
            <w:r>
              <w:rPr>
                <w:rFonts w:ascii="PT Astra Serif" w:hAnsi="PT Astra Serif"/>
                <w:i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i/>
                <w:sz w:val="22"/>
                <w:szCs w:val="22"/>
                <w:highlight w:val="white"/>
              </w:rPr>
            </w:r>
          </w:p>
          <w:p>
            <w:pPr>
              <w:rPr>
                <w:rFonts w:ascii="PT Astra Serif" w:hAnsi="PT Astra Serif"/>
                <w:i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i/>
                <w:sz w:val="22"/>
                <w:szCs w:val="22"/>
                <w:highlight w:val="whit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i/>
                <w:sz w:val="22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none"/>
              </w:rPr>
              <w:t xml:space="preserve">730,3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в 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.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none"/>
              </w:rPr>
              <w:t xml:space="preserve">730,3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/>
                <w:i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i/>
                <w:sz w:val="22"/>
                <w:szCs w:val="22"/>
                <w:highlight w:val="white"/>
              </w:rPr>
              <w:t xml:space="preserve">Мероприя</w:t>
            </w:r>
            <w:r>
              <w:rPr>
                <w:rFonts w:ascii="PT Astra Serif" w:hAnsi="PT Astra Serif"/>
                <w:i/>
                <w:sz w:val="22"/>
                <w:szCs w:val="22"/>
                <w:highlight w:val="white"/>
              </w:rPr>
              <w:t xml:space="preserve">тие  «Осуществление комплекса мероприятий, направленных на обеспечение процедур приватизации областного государственного имущества Томской области» (всего), </w:t>
            </w:r>
            <w:r>
              <w:rPr>
                <w:rFonts w:ascii="PT Astra Serif" w:hAnsi="PT Astra Serif"/>
                <w:i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i/>
                <w:sz w:val="22"/>
                <w:szCs w:val="22"/>
                <w:highlight w:val="white"/>
              </w:rPr>
            </w:r>
          </w:p>
          <w:p>
            <w:pPr>
              <w:rPr>
                <w:rFonts w:ascii="PT Astra Serif" w:hAnsi="PT Astra Serif"/>
                <w:i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i/>
                <w:sz w:val="22"/>
                <w:szCs w:val="22"/>
                <w:highlight w:val="whit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i/>
                <w:sz w:val="22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none"/>
              </w:rPr>
              <w:t xml:space="preserve">730,3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в 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.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none"/>
              </w:rPr>
              <w:t xml:space="preserve">730,3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175,0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877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Cs w:val="22"/>
                <w:highlight w:val="none"/>
              </w:rPr>
              <w:t xml:space="preserve">»</w:t>
            </w:r>
            <w:r>
              <w:rPr>
                <w:rFonts w:ascii="PT Astra Serif" w:hAnsi="PT Astra Serif"/>
                <w:szCs w:val="22"/>
                <w:highlight w:val="white"/>
              </w:rPr>
            </w:r>
            <w:r>
              <w:rPr>
                <w:rFonts w:ascii="PT Astra Serif" w:hAnsi="PT Astra Serif"/>
                <w:szCs w:val="22"/>
                <w:highlight w:val="white"/>
              </w:rPr>
            </w:r>
          </w:p>
        </w:tc>
      </w:tr>
    </w:tbl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t xml:space="preserve">Приложение 3</w:t>
      </w:r>
      <w:r>
        <w:rPr>
          <w:rFonts w:ascii="PT Astra Serif" w:hAnsi="PT Astra Serif" w:eastAsiaTheme="minorHAnsi"/>
          <w:sz w:val="26"/>
          <w:szCs w:val="26"/>
          <w:highlight w:val="whit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</w:rPr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t xml:space="preserve">к распоряжению Департамента по управлению государственной собственностью Томской области</w:t>
      </w:r>
      <w:r>
        <w:rPr>
          <w:rFonts w:ascii="PT Astra Serif" w:hAnsi="PT Astra Serif" w:eastAsiaTheme="minorHAnsi"/>
          <w:sz w:val="26"/>
          <w:szCs w:val="26"/>
          <w:highlight w:val="whit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</w:p>
    <w:p>
      <w:pPr>
        <w:ind w:left="10773"/>
        <w:widowControl/>
        <w:rPr>
          <w:rFonts w:ascii="PT Astra Serif" w:hAnsi="PT Astra Serif" w:eastAsiaTheme="minorHAnsi"/>
          <w:sz w:val="26"/>
          <w:szCs w:val="26"/>
          <w:highlight w:val="white"/>
        </w:rPr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t xml:space="preserve">от _______________№ ___________</w:t>
      </w:r>
      <w:r>
        <w:rPr>
          <w:rFonts w:ascii="PT Astra Serif" w:hAnsi="PT Astra Serif" w:eastAsiaTheme="minorHAnsi"/>
          <w:sz w:val="26"/>
          <w:szCs w:val="26"/>
          <w:highlight w:val="whit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</w:rPr>
        <w:outlineLvl w:val="0"/>
      </w:pPr>
      <w:r>
        <w:rPr>
          <w:rFonts w:ascii="PT Astra Serif" w:hAnsi="PT Astra Serif" w:eastAsiaTheme="minorHAnsi"/>
          <w:sz w:val="26"/>
          <w:szCs w:val="26"/>
          <w:highlight w:val="none"/>
          <w:lang w:eastAsia="en-US"/>
        </w:rPr>
        <w:t xml:space="preserve">«</w:t>
      </w: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t xml:space="preserve">Приложение 3</w:t>
      </w:r>
      <w:r>
        <w:rPr>
          <w:rFonts w:ascii="PT Astra Serif" w:hAnsi="PT Astra Serif" w:eastAsiaTheme="minorHAnsi"/>
          <w:sz w:val="26"/>
          <w:szCs w:val="26"/>
          <w:highlight w:val="whit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</w:p>
    <w:p>
      <w:pPr>
        <w:ind w:left="10773"/>
        <w:jc w:val="both"/>
        <w:widowControl/>
        <w:rPr>
          <w:rFonts w:ascii="PT Astra Serif" w:hAnsi="PT Astra Serif" w:eastAsiaTheme="minorHAnsi"/>
          <w:sz w:val="26"/>
          <w:szCs w:val="26"/>
          <w:highlight w:val="white"/>
        </w:rPr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t xml:space="preserve">к распоряжению Департамента по управлению государственной собственностью Томской области</w:t>
      </w:r>
      <w:r>
        <w:rPr>
          <w:rFonts w:ascii="PT Astra Serif" w:hAnsi="PT Astra Serif" w:eastAsiaTheme="minorHAnsi"/>
          <w:sz w:val="26"/>
          <w:szCs w:val="26"/>
          <w:highlight w:val="whit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</w:p>
    <w:p>
      <w:pPr>
        <w:ind w:left="10773"/>
        <w:widowControl/>
        <w:rPr>
          <w:rFonts w:ascii="PT Astra Serif" w:hAnsi="PT Astra Serif" w:eastAsiaTheme="minorHAnsi"/>
          <w:sz w:val="26"/>
          <w:szCs w:val="26"/>
          <w:highlight w:val="white"/>
        </w:rPr>
      </w:pPr>
      <w:r>
        <w:rPr>
          <w:rFonts w:ascii="PT Astra Serif" w:hAnsi="PT Astra Serif" w:eastAsiaTheme="minorHAnsi"/>
          <w:sz w:val="26"/>
          <w:szCs w:val="26"/>
          <w:highlight w:val="white"/>
          <w:lang w:eastAsia="en-US"/>
        </w:rPr>
        <w:t xml:space="preserve">от _______________№ ___________</w:t>
      </w:r>
      <w:r>
        <w:rPr>
          <w:rFonts w:ascii="PT Astra Serif" w:hAnsi="PT Astra Serif" w:eastAsiaTheme="minorHAnsi"/>
          <w:sz w:val="26"/>
          <w:szCs w:val="26"/>
          <w:highlight w:val="whit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</w:p>
    <w:p>
      <w:pPr>
        <w:jc w:val="center"/>
        <w:widowControl/>
        <w:rPr>
          <w:rFonts w:ascii="PT Astra Serif" w:hAnsi="PT Astra Serif" w:eastAsiaTheme="minorHAnsi"/>
          <w:sz w:val="26"/>
          <w:szCs w:val="26"/>
          <w:highlight w:val="white"/>
        </w:rPr>
      </w:pPr>
      <w:r>
        <w:rPr>
          <w:rFonts w:ascii="PT Astra Serif" w:hAnsi="PT Astra Serif" w:eastAsiaTheme="minorHAnsi"/>
          <w:sz w:val="26"/>
          <w:szCs w:val="26"/>
          <w:highlight w:val="whit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</w:p>
    <w:p>
      <w:pPr>
        <w:jc w:val="center"/>
        <w:widowControl/>
        <w:rPr>
          <w:rFonts w:ascii="PT Astra Serif" w:hAnsi="PT Astra Serif" w:eastAsiaTheme="minorHAnsi"/>
          <w:sz w:val="26"/>
          <w:szCs w:val="26"/>
          <w:highlight w:val="white"/>
        </w:rPr>
      </w:pPr>
      <w:r>
        <w:rPr>
          <w:rFonts w:ascii="PT Astra Serif" w:hAnsi="PT Astra Serif" w:eastAsiaTheme="minorHAnsi"/>
          <w:sz w:val="26"/>
          <w:szCs w:val="26"/>
          <w:highlight w:val="whit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</w:p>
    <w:p>
      <w:pPr>
        <w:contextualSpacing/>
        <w:jc w:val="center"/>
        <w:spacing w:after="200" w:line="276" w:lineRule="auto"/>
        <w:widowControl/>
        <w:rPr>
          <w:rFonts w:ascii="PT Astra Serif" w:hAnsi="PT Astra Serif" w:eastAsiaTheme="minorHAnsi" w:cstheme="minorBidi"/>
          <w:color w:val="000000"/>
          <w:sz w:val="26"/>
          <w:szCs w:val="26"/>
          <w:highlight w:val="white"/>
        </w:rPr>
      </w:pPr>
      <w:r>
        <w:rPr>
          <w:rFonts w:ascii="PT Astra Serif" w:hAnsi="PT Astra Serif" w:eastAsiaTheme="minorHAnsi" w:cstheme="minorBidi"/>
          <w:color w:val="000000"/>
          <w:sz w:val="26"/>
          <w:szCs w:val="26"/>
          <w:highlight w:val="white"/>
          <w:lang w:eastAsia="en-US"/>
        </w:rPr>
        <w:t xml:space="preserve">ПАСПОРТ </w:t>
      </w:r>
      <w:r>
        <w:rPr>
          <w:rFonts w:ascii="PT Astra Serif" w:hAnsi="PT Astra Serif" w:eastAsiaTheme="minorHAnsi" w:cstheme="minorBidi"/>
          <w:color w:val="000000"/>
          <w:sz w:val="26"/>
          <w:szCs w:val="26"/>
          <w:highlight w:val="white"/>
        </w:rPr>
      </w:r>
      <w:r>
        <w:rPr>
          <w:rFonts w:ascii="PT Astra Serif" w:hAnsi="PT Astra Serif" w:eastAsiaTheme="minorHAnsi" w:cstheme="minorBidi"/>
          <w:color w:val="000000"/>
          <w:sz w:val="26"/>
          <w:szCs w:val="26"/>
          <w:highlight w:val="white"/>
        </w:rPr>
      </w:r>
    </w:p>
    <w:p>
      <w:pPr>
        <w:contextualSpacing/>
        <w:jc w:val="center"/>
        <w:spacing w:after="200" w:line="276" w:lineRule="auto"/>
        <w:widowControl/>
        <w:rPr>
          <w:rFonts w:ascii="PT Astra Serif" w:hAnsi="PT Astra Serif" w:eastAsiaTheme="minorHAnsi" w:cstheme="minorBidi"/>
          <w:color w:val="000000"/>
          <w:sz w:val="26"/>
          <w:szCs w:val="26"/>
          <w:highlight w:val="white"/>
        </w:rPr>
      </w:pPr>
      <w:r>
        <w:rPr>
          <w:rFonts w:ascii="PT Astra Serif" w:hAnsi="PT Astra Serif" w:eastAsiaTheme="minorHAnsi" w:cstheme="minorBidi"/>
          <w:color w:val="000000"/>
          <w:sz w:val="26"/>
          <w:szCs w:val="26"/>
          <w:highlight w:val="white"/>
          <w:lang w:eastAsia="en-US"/>
        </w:rPr>
        <w:t xml:space="preserve">Комплекса процессных мероприятий</w:t>
      </w:r>
      <w:r>
        <w:rPr>
          <w:rFonts w:ascii="PT Astra Serif" w:hAnsi="PT Astra Serif" w:eastAsiaTheme="minorHAnsi" w:cstheme="minorBidi"/>
          <w:color w:val="000000"/>
          <w:sz w:val="26"/>
          <w:szCs w:val="26"/>
          <w:highlight w:val="white"/>
        </w:rPr>
      </w:r>
      <w:r>
        <w:rPr>
          <w:rFonts w:ascii="PT Astra Serif" w:hAnsi="PT Astra Serif" w:eastAsiaTheme="minorHAnsi" w:cstheme="minorBidi"/>
          <w:color w:val="000000"/>
          <w:sz w:val="26"/>
          <w:szCs w:val="26"/>
          <w:highlight w:val="white"/>
        </w:rPr>
      </w:r>
    </w:p>
    <w:p>
      <w:pPr>
        <w:jc w:val="center"/>
        <w:spacing w:after="200" w:line="276" w:lineRule="auto"/>
        <w:widowControl/>
        <w:rPr>
          <w:rFonts w:ascii="PT Astra Serif" w:hAnsi="PT Astra Serif" w:eastAsiaTheme="minorHAnsi" w:cstheme="minorBidi"/>
          <w:sz w:val="26"/>
          <w:szCs w:val="26"/>
          <w:highlight w:val="white"/>
        </w:rPr>
      </w:pPr>
      <w:r>
        <w:rPr>
          <w:rFonts w:ascii="PT Astra Serif" w:hAnsi="PT Astra Serif" w:eastAsiaTheme="minorHAnsi" w:cstheme="minorBidi"/>
          <w:sz w:val="26"/>
          <w:szCs w:val="26"/>
          <w:highlight w:val="white"/>
          <w:lang w:eastAsia="en-US"/>
        </w:rPr>
        <w:t xml:space="preserve">«Совершенствование системы учета и контроля государственного имущества Томской области»</w:t>
      </w: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</w:p>
    <w:p>
      <w:pPr>
        <w:jc w:val="center"/>
        <w:spacing w:after="200" w:line="276" w:lineRule="auto"/>
        <w:widowControl/>
        <w:rPr>
          <w:rFonts w:ascii="PT Astra Serif" w:hAnsi="PT Astra Serif" w:eastAsiaTheme="minorHAnsi" w:cstheme="minorBidi"/>
          <w:sz w:val="26"/>
          <w:szCs w:val="26"/>
          <w:highlight w:val="white"/>
        </w:rPr>
      </w:pPr>
      <w:r>
        <w:rPr>
          <w:rFonts w:ascii="PT Astra Serif" w:hAnsi="PT Astra Serif" w:eastAsiaTheme="minorHAnsi" w:cstheme="minorBidi"/>
          <w:sz w:val="26"/>
          <w:szCs w:val="26"/>
          <w:highlight w:val="white"/>
          <w:lang w:eastAsia="en-US"/>
        </w:rPr>
        <w:t xml:space="preserve">Основные положения</w:t>
      </w: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</w:p>
    <w:tbl>
      <w:tblPr>
        <w:tblStyle w:val="1007"/>
        <w:tblW w:w="15336" w:type="dxa"/>
        <w:jc w:val="center"/>
        <w:tblInd w:w="-8016" w:type="dxa"/>
        <w:tblLook w:val="04A0" w:firstRow="1" w:lastRow="0" w:firstColumn="1" w:lastColumn="0" w:noHBand="0" w:noVBand="1"/>
      </w:tblPr>
      <w:tblGrid>
        <w:gridCol w:w="6085"/>
        <w:gridCol w:w="9251"/>
      </w:tblGrid>
      <w:tr>
        <w:trPr>
          <w:jc w:val="center"/>
        </w:trPr>
        <w:tc>
          <w:tcPr>
            <w:tcW w:w="6085" w:type="dxa"/>
            <w:textDirection w:val="lrTb"/>
            <w:noWrap w:val="false"/>
          </w:tcPr>
          <w:p>
            <w:pPr>
              <w:contextualSpacing/>
              <w:ind w:firstLine="0"/>
              <w:spacing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Ответственный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 за выполнение комплекса процессных мероприятий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</w:tc>
        <w:tc>
          <w:tcPr>
            <w:tcW w:w="9251" w:type="dxa"/>
            <w:textDirection w:val="lrTb"/>
            <w:noWrap w:val="false"/>
          </w:tcPr>
          <w:p>
            <w:pPr>
              <w:contextualSpacing/>
              <w:ind w:firstLine="0"/>
              <w:spacing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Департамент по управлению государственной собственностью Томской области                           (далее – ДУГС ТО)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</w:tc>
      </w:tr>
      <w:tr>
        <w:trPr>
          <w:jc w:val="center"/>
          <w:trHeight w:val="302"/>
        </w:trPr>
        <w:tc>
          <w:tcPr>
            <w:tcW w:w="6085" w:type="dxa"/>
            <w:textDirection w:val="lrTb"/>
            <w:noWrap w:val="false"/>
          </w:tcPr>
          <w:p>
            <w:pPr>
              <w:contextualSpacing/>
              <w:ind w:firstLine="0"/>
              <w:spacing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Связь с государственной программой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</w:tc>
        <w:tc>
          <w:tcPr>
            <w:tcW w:w="9251" w:type="dxa"/>
            <w:textDirection w:val="lrTb"/>
            <w:noWrap w:val="false"/>
          </w:tcPr>
          <w:p>
            <w:pPr>
              <w:contextualSpacing/>
              <w:ind w:firstLine="0"/>
              <w:spacing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Государственная программа «Эффективное управление государственным имуществом Томской области»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</w:tc>
      </w:tr>
      <w:tr>
        <w:trPr>
          <w:jc w:val="center"/>
        </w:trPr>
        <w:tc>
          <w:tcPr>
            <w:tcW w:w="6085" w:type="dxa"/>
            <w:textDirection w:val="lrTb"/>
            <w:noWrap w:val="false"/>
          </w:tcPr>
          <w:p>
            <w:pPr>
              <w:contextualSpacing/>
              <w:ind w:firstLine="0"/>
              <w:spacing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Подпрограмма (направление) государственной программы Томской области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</w:tc>
        <w:tc>
          <w:tcPr>
            <w:tcW w:w="9251" w:type="dxa"/>
            <w:textDirection w:val="lrTb"/>
            <w:noWrap w:val="false"/>
          </w:tcPr>
          <w:p>
            <w:pPr>
              <w:contextualSpacing/>
              <w:ind w:firstLine="45"/>
              <w:spacing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Подпрограмма (направление) государственной программы «Управление государственным имуществом Томской области»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</w:tc>
      </w:tr>
    </w:tbl>
    <w:p>
      <w:pPr>
        <w:spacing w:after="200" w:line="276" w:lineRule="auto"/>
        <w:widowControl/>
        <w:rPr>
          <w:rFonts w:ascii="PT Astra Serif" w:hAnsi="PT Astra Serif" w:eastAsiaTheme="minorHAnsi" w:cstheme="minorBidi"/>
          <w:sz w:val="24"/>
          <w:szCs w:val="24"/>
          <w:highlight w:val="white"/>
        </w:rPr>
      </w:pPr>
      <w:r>
        <w:rPr>
          <w:rFonts w:ascii="PT Astra Serif" w:hAnsi="PT Astra Serif" w:eastAsiaTheme="minorHAnsi" w:cstheme="minorBidi"/>
          <w:sz w:val="24"/>
          <w:szCs w:val="24"/>
          <w:highlight w:val="white"/>
        </w:rPr>
      </w:r>
      <w:r>
        <w:rPr>
          <w:rFonts w:ascii="PT Astra Serif" w:hAnsi="PT Astra Serif" w:eastAsiaTheme="minorHAnsi" w:cstheme="minorBidi"/>
          <w:sz w:val="24"/>
          <w:szCs w:val="24"/>
          <w:highlight w:val="white"/>
        </w:rPr>
      </w:r>
      <w:r>
        <w:rPr>
          <w:rFonts w:ascii="PT Astra Serif" w:hAnsi="PT Astra Serif" w:eastAsiaTheme="minorHAnsi" w:cstheme="minorBidi"/>
          <w:sz w:val="24"/>
          <w:szCs w:val="24"/>
          <w:highlight w:val="white"/>
        </w:rPr>
      </w:r>
    </w:p>
    <w:p>
      <w:pPr>
        <w:jc w:val="center"/>
        <w:spacing w:after="200" w:line="276" w:lineRule="auto"/>
        <w:widowControl/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  <w:vertAlign w:val="superscript"/>
        </w:rPr>
      </w:pP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  <w:lang w:eastAsia="en-US"/>
        </w:rPr>
        <w:t xml:space="preserve">Показатели комплекса процессных мероприятий</w:t>
      </w: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  <w:vertAlign w:val="superscript"/>
        </w:rPr>
      </w:r>
      <w:r>
        <w:rPr>
          <w:rFonts w:ascii="PT Astra Serif" w:hAnsi="PT Astra Serif" w:eastAsiaTheme="minorHAnsi" w:cstheme="minorBidi"/>
          <w:color w:val="000000" w:themeColor="text1"/>
          <w:sz w:val="24"/>
          <w:szCs w:val="24"/>
          <w:highlight w:val="white"/>
          <w:vertAlign w:val="superscript"/>
        </w:rPr>
      </w:r>
    </w:p>
    <w:tbl>
      <w:tblPr>
        <w:tblStyle w:val="1007"/>
        <w:tblpPr w:horzAnchor="text" w:tblpX="-68" w:vertAnchor="text" w:tblpY="1" w:leftFromText="180" w:topFromText="0" w:rightFromText="180" w:bottomFromText="0"/>
        <w:tblW w:w="15417" w:type="dxa"/>
        <w:tblLayout w:type="fixed"/>
        <w:tblLook w:val="04A0" w:firstRow="1" w:lastRow="0" w:firstColumn="1" w:lastColumn="0" w:noHBand="0" w:noVBand="1"/>
      </w:tblPr>
      <w:tblGrid>
        <w:gridCol w:w="544"/>
        <w:gridCol w:w="1946"/>
        <w:gridCol w:w="1487"/>
        <w:gridCol w:w="1442"/>
        <w:gridCol w:w="1533"/>
        <w:gridCol w:w="1302"/>
        <w:gridCol w:w="1100"/>
        <w:gridCol w:w="1259"/>
        <w:gridCol w:w="1258"/>
        <w:gridCol w:w="1373"/>
        <w:gridCol w:w="1258"/>
        <w:gridCol w:w="915"/>
      </w:tblGrid>
      <w:tr>
        <w:trPr>
          <w:trHeight w:val="245"/>
        </w:trPr>
        <w:tc>
          <w:tcPr>
            <w:tcW w:w="545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№ 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п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/п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94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Наименование показателя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48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Уровень достижения 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показателя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442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Признак возрастания/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убывания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53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Ответственный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 за 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достижение показателя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Единица измерения 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(по ОКЕИ)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100" w:type="dxa"/>
            <w:vAlign w:val="center"/>
            <w:vMerge w:val="restart"/>
            <w:textDirection w:val="lrTb"/>
            <w:noWrap w:val="false"/>
          </w:tcPr>
          <w:p>
            <w:pPr>
              <w:ind w:firstLine="33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Базовое значение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ind w:firstLine="33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2023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  <w:t xml:space="preserve"> 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</w:rPr>
              <w:t xml:space="preserve">год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gridSpan w:val="5"/>
            <w:tcW w:w="6063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Планируемое значение показателя (показателя задачи) 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244"/>
        </w:trPr>
        <w:tc>
          <w:tcPr>
            <w:tcW w:w="545" w:type="dxa"/>
            <w:vMerge w:val="continue"/>
            <w:textDirection w:val="lrTb"/>
            <w:noWrap w:val="false"/>
          </w:tcPr>
          <w:p>
            <w:pPr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lang w:eastAsia="en-US"/>
              </w:rPr>
            </w:r>
          </w:p>
        </w:tc>
        <w:tc>
          <w:tcPr>
            <w:tcW w:w="1946" w:type="dxa"/>
            <w:vMerge w:val="continue"/>
            <w:textDirection w:val="lrTb"/>
            <w:noWrap w:val="false"/>
          </w:tcPr>
          <w:p>
            <w:pPr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lang w:eastAsia="en-US"/>
              </w:rPr>
            </w:r>
          </w:p>
        </w:tc>
        <w:tc>
          <w:tcPr>
            <w:tcW w:w="148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44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33" w:type="dxa"/>
            <w:vMerge w:val="continue"/>
            <w:textDirection w:val="lrTb"/>
            <w:noWrap w:val="false"/>
          </w:tcPr>
          <w:p>
            <w:pPr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lang w:eastAsia="en-US"/>
              </w:rPr>
            </w:r>
          </w:p>
        </w:tc>
        <w:tc>
          <w:tcPr>
            <w:tcW w:w="1302" w:type="dxa"/>
            <w:vMerge w:val="continue"/>
            <w:textDirection w:val="lrTb"/>
            <w:noWrap w:val="false"/>
          </w:tcPr>
          <w:p>
            <w:pPr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lang w:eastAsia="en-US"/>
              </w:rPr>
            </w:r>
          </w:p>
        </w:tc>
        <w:tc>
          <w:tcPr>
            <w:tcW w:w="1100" w:type="dxa"/>
            <w:vMerge w:val="continue"/>
            <w:textDirection w:val="lrTb"/>
            <w:noWrap w:val="false"/>
          </w:tcPr>
          <w:p>
            <w:pPr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lang w:eastAsia="en-US"/>
              </w:rPr>
            </w:r>
          </w:p>
        </w:tc>
        <w:tc>
          <w:tcPr>
            <w:tcW w:w="1259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2024 год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258" w:type="dxa"/>
            <w:vAlign w:val="center"/>
            <w:textDirection w:val="lrTb"/>
            <w:noWrap w:val="false"/>
          </w:tcPr>
          <w:p>
            <w:pPr>
              <w:ind w:firstLine="33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2025 год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373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2026 год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258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Прогнозный период 2027 год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15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Прогнозный период 2028 год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317"/>
        </w:trPr>
        <w:tc>
          <w:tcPr>
            <w:gridSpan w:val="12"/>
            <w:tcW w:w="15417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Осуществление мероприятий, направленных на совершенствование системы учета и контроля государственного имущества Томской области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</w:r>
          </w:p>
        </w:tc>
      </w:tr>
      <w:tr>
        <w:trPr/>
        <w:tc>
          <w:tcPr>
            <w:tcW w:w="545" w:type="dxa"/>
            <w:textDirection w:val="lrTb"/>
            <w:noWrap w:val="false"/>
          </w:tcPr>
          <w:p>
            <w:pPr>
              <w:contextualSpacing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 1.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946" w:type="dxa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Доля объектов недвижимого имущества, сведения о которых содержатся в Р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еестре государственного имущества Томской области, закрепленных на праве оперативного управления, на праве хозяйственного ведения и предоставленных в постоянное (бессрочное) пользование, в отношении которых проведены проверки эффективности использования и 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сохранности государственного имущества Томской области, от общего количества таких объектов по состоянию на начало года, в котором проведены такие проверки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1487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ГП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442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  <w:t xml:space="preserve">Возрастающий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533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ДУГС ТО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302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  <w:t xml:space="preserve">Процент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100" w:type="dxa"/>
            <w:textDirection w:val="lrTb"/>
            <w:noWrap w:val="false"/>
          </w:tcPr>
          <w:p>
            <w:pPr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6,35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1259" w:type="dxa"/>
            <w:textDirection w:val="lrTb"/>
            <w:noWrap w:val="false"/>
          </w:tcPr>
          <w:p>
            <w:pPr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6,49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1258" w:type="dxa"/>
            <w:textDirection w:val="lrTb"/>
            <w:noWrap w:val="false"/>
          </w:tcPr>
          <w:p>
            <w:pPr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6,50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1373" w:type="dxa"/>
            <w:textDirection w:val="lrTb"/>
            <w:noWrap w:val="false"/>
          </w:tcPr>
          <w:p>
            <w:pPr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6,52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1258" w:type="dxa"/>
            <w:textDirection w:val="lrTb"/>
            <w:noWrap w:val="false"/>
          </w:tcPr>
          <w:p>
            <w:pPr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6,54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915" w:type="dxa"/>
            <w:textDirection w:val="lrTb"/>
            <w:noWrap w:val="false"/>
          </w:tcPr>
          <w:p>
            <w:pPr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6,55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tcW w:w="545" w:type="dxa"/>
            <w:textDirection w:val="lrTb"/>
            <w:noWrap w:val="false"/>
          </w:tcPr>
          <w:p>
            <w:pPr>
              <w:contextualSpacing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     2.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946" w:type="dxa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Доля объектов недвижимого имущества, сведения о которых содержатся в Реестре государственного имущества Томской области, находящихся в Казне Томской области, в отношении которых проведены проверки эффективности использования и сохранности 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государственного имущества Томской области, от общего количества таких объектов по состоянию на начало года, в котором проведены такие проверки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1487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ГП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442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  <w:t xml:space="preserve">Возраста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</w:rPr>
              <w:t xml:space="preserve">ющий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533" w:type="dxa"/>
            <w:textDirection w:val="lrTb"/>
            <w:noWrap w:val="false"/>
          </w:tcPr>
          <w:p>
            <w:pPr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ДУГС ТО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302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  <w:t xml:space="preserve">Процент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100" w:type="dxa"/>
            <w:textDirection w:val="lrTb"/>
            <w:noWrap w:val="false"/>
          </w:tcPr>
          <w:p>
            <w:pPr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8,78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1259" w:type="dxa"/>
            <w:textDirection w:val="lrTb"/>
            <w:noWrap w:val="false"/>
          </w:tcPr>
          <w:p>
            <w:pPr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8,79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1258" w:type="dxa"/>
            <w:textDirection w:val="lrTb"/>
            <w:noWrap w:val="false"/>
          </w:tcPr>
          <w:p>
            <w:pPr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9,00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1373" w:type="dxa"/>
            <w:textDirection w:val="lrTb"/>
            <w:noWrap w:val="false"/>
          </w:tcPr>
          <w:p>
            <w:pPr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9,10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1258" w:type="dxa"/>
            <w:textDirection w:val="lrTb"/>
            <w:noWrap w:val="false"/>
          </w:tcPr>
          <w:p>
            <w:pPr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9,13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915" w:type="dxa"/>
            <w:textDirection w:val="lrTb"/>
            <w:noWrap w:val="false"/>
          </w:tcPr>
          <w:p>
            <w:pPr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9,14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</w:p>
        </w:tc>
      </w:tr>
    </w:tbl>
    <w:p>
      <w:pPr>
        <w:jc w:val="center"/>
        <w:rPr>
          <w:rFonts w:ascii="PT Astra Serif" w:hAnsi="PT Astra Serif"/>
          <w:b/>
          <w:color w:val="000000"/>
          <w:sz w:val="26"/>
          <w:szCs w:val="26"/>
          <w:highlight w:val="white"/>
        </w:rPr>
      </w:pPr>
      <w:r>
        <w:rPr>
          <w:rFonts w:ascii="PT Astra Serif" w:hAnsi="PT Astra Serif"/>
          <w:b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b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b/>
          <w:color w:val="000000"/>
          <w:sz w:val="26"/>
          <w:szCs w:val="26"/>
          <w:highlight w:val="white"/>
        </w:rPr>
      </w:r>
    </w:p>
    <w:p>
      <w:pPr>
        <w:jc w:val="center"/>
        <w:spacing w:after="200" w:line="276" w:lineRule="auto"/>
        <w:widowControl/>
        <w:rPr>
          <w:rFonts w:ascii="PT Astra Serif" w:hAnsi="PT Astra Serif" w:cs="PT Astra Serif" w:eastAsiaTheme="minorHAnsi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cs="PT Astra Serif" w:eastAsiaTheme="minorHAnsi"/>
          <w:color w:val="000000" w:themeColor="text1"/>
          <w:sz w:val="24"/>
          <w:szCs w:val="24"/>
          <w:highlight w:val="white"/>
          <w:lang w:eastAsia="en-US"/>
        </w:rPr>
        <w:t xml:space="preserve">План достижения показателей комплекса процессных мероприятий в 2024 финансовому году</w:t>
      </w:r>
      <w:r>
        <w:rPr>
          <w:rFonts w:ascii="PT Astra Serif" w:hAnsi="PT Astra Serif" w:cs="PT Astra Serif" w:eastAsiaTheme="minorHAnsi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 w:eastAsiaTheme="minorHAnsi"/>
          <w:color w:val="000000" w:themeColor="text1"/>
          <w:sz w:val="24"/>
          <w:szCs w:val="24"/>
          <w:highlight w:val="white"/>
        </w:rPr>
      </w:r>
    </w:p>
    <w:tbl>
      <w:tblPr>
        <w:tblStyle w:val="888"/>
        <w:tblW w:w="0" w:type="auto"/>
        <w:tblLook w:val="04A0" w:firstRow="1" w:lastRow="0" w:firstColumn="1" w:lastColumn="0" w:noHBand="0" w:noVBand="1"/>
      </w:tblPr>
      <w:tblGrid>
        <w:gridCol w:w="881"/>
        <w:gridCol w:w="2131"/>
        <w:gridCol w:w="1267"/>
        <w:gridCol w:w="911"/>
        <w:gridCol w:w="962"/>
        <w:gridCol w:w="937"/>
        <w:gridCol w:w="912"/>
        <w:gridCol w:w="902"/>
        <w:gridCol w:w="959"/>
        <w:gridCol w:w="955"/>
        <w:gridCol w:w="899"/>
        <w:gridCol w:w="908"/>
        <w:gridCol w:w="913"/>
        <w:gridCol w:w="901"/>
        <w:gridCol w:w="915"/>
      </w:tblGrid>
      <w:tr>
        <w:trPr>
          <w:trHeight w:val="869"/>
        </w:trPr>
        <w:tc>
          <w:tcPr>
            <w:tcW w:w="87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  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№ </w:t>
            </w: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п</w:t>
            </w: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/п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222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Наименование показателя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  <w:p>
            <w:pPr>
              <w:widowControl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12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Единица измерения (по ОКЕИ)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gridSpan w:val="11"/>
            <w:tcW w:w="10572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Плановые значения на конец месяца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82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На конец года</w:t>
            </w: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2024 год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</w:tr>
      <w:tr>
        <w:trPr>
          <w:trHeight w:val="415"/>
        </w:trPr>
        <w:tc>
          <w:tcPr>
            <w:tcW w:w="10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71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9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029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янв.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50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февр.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40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март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30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апр.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26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май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49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июнь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июль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25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авг.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28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сен.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036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окт.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71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нояб</w:t>
            </w:r>
            <w:r>
              <w:rPr>
                <w:rFonts w:ascii="PT Astra Serif" w:hAnsi="PT Astra Serif" w:cs="PT Astra Serif" w:eastAsiaTheme="minorHAns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.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97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rPr>
          <w:trHeight w:val="642"/>
        </w:trPr>
        <w:tc>
          <w:tcPr>
            <w:tcW w:w="101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1.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1714" w:type="dxa"/>
            <w:vMerge w:val="restart"/>
            <w:textDirection w:val="lrTb"/>
            <w:noWrap w:val="false"/>
          </w:tcPr>
          <w:p>
            <w:pPr>
              <w:contextualSpacing/>
              <w:widowControl/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Доля объектов недвижимого имущества, сведения о которых содержатся в Реестре государственного имущества Томской области, закрепленных на праве оперативного управления, на праве хозяйственного ведения и предоставленных в 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посто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янное (бессрочное) пользование, в отношении которых проведены проверки эффективности использования и сохранности государственного имущества Томской области, от общего количества таких объектов по состоянию на начало года, в котором проведены такие проверки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1291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Процент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1029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50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40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30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49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47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25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28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36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71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71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6,49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rPr>
          <w:trHeight w:val="415"/>
        </w:trPr>
        <w:tc>
          <w:tcPr>
            <w:tcW w:w="101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1714" w:type="dxa"/>
            <w:vMerge w:val="restart"/>
            <w:textDirection w:val="lrTb"/>
            <w:noWrap w:val="false"/>
          </w:tcPr>
          <w:p>
            <w:pPr>
              <w:contextualSpacing/>
              <w:widowControl/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Доля объектов недвижимого имущества, сведения о которых содержатся в Реестре государственного имущества Томской области, находящихся в Казне Томской области, в отношении которых проведены проверки эффективности использования и сохранности государственного 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имущества Томской области, от общего количества таких объектов по состоянию на начало года, в котором проведены такие проверки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1291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Процент</w:t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</w:rPr>
            </w:r>
          </w:p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29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50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40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30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49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47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25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28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036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71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71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rFonts w:ascii="PT Astra Serif" w:hAnsi="PT Astra Serif" w:eastAsiaTheme="minorHAnsi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8,79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</w:tbl>
    <w:p>
      <w:pPr>
        <w:jc w:val="center"/>
        <w:spacing w:after="200" w:line="276" w:lineRule="auto"/>
        <w:widowControl/>
        <w:rPr>
          <w:rFonts w:ascii="PT Astra Serif" w:hAnsi="PT Astra Serif" w:eastAsiaTheme="minorHAnsi" w:cstheme="minorBidi"/>
          <w:color w:val="000000"/>
          <w:sz w:val="24"/>
          <w:szCs w:val="24"/>
          <w:highlight w:val="white"/>
        </w:rPr>
      </w:pPr>
      <w:r>
        <w:rPr>
          <w:rFonts w:ascii="PT Astra Serif" w:hAnsi="PT Astra Serif" w:eastAsiaTheme="minorHAnsi" w:cstheme="minorBidi"/>
          <w:color w:val="000000"/>
          <w:sz w:val="24"/>
          <w:szCs w:val="24"/>
          <w:highlight w:val="white"/>
        </w:rPr>
      </w:r>
      <w:r>
        <w:rPr>
          <w:rFonts w:ascii="PT Astra Serif" w:hAnsi="PT Astra Serif" w:eastAsiaTheme="minorHAnsi" w:cstheme="minorBidi"/>
          <w:color w:val="000000"/>
          <w:sz w:val="24"/>
          <w:szCs w:val="24"/>
          <w:highlight w:val="white"/>
        </w:rPr>
      </w:r>
      <w:r>
        <w:rPr>
          <w:rFonts w:ascii="PT Astra Serif" w:hAnsi="PT Astra Serif" w:eastAsiaTheme="minorHAnsi" w:cstheme="minorBidi"/>
          <w:color w:val="000000"/>
          <w:sz w:val="24"/>
          <w:szCs w:val="24"/>
          <w:highlight w:val="white"/>
        </w:rPr>
      </w:r>
    </w:p>
    <w:p>
      <w:pPr>
        <w:jc w:val="center"/>
        <w:spacing w:after="200" w:line="276" w:lineRule="auto"/>
        <w:widowControl/>
        <w:rPr>
          <w:rFonts w:ascii="PT Astra Serif" w:hAnsi="PT Astra Serif" w:eastAsiaTheme="minorHAnsi" w:cstheme="minorBidi"/>
          <w:color w:val="000000"/>
          <w:sz w:val="24"/>
          <w:szCs w:val="24"/>
          <w:highlight w:val="white"/>
        </w:rPr>
      </w:pPr>
      <w:r>
        <w:rPr>
          <w:rFonts w:ascii="PT Astra Serif" w:hAnsi="PT Astra Serif" w:eastAsiaTheme="minorHAnsi" w:cstheme="minorBidi"/>
          <w:color w:val="000000"/>
          <w:sz w:val="24"/>
          <w:szCs w:val="24"/>
          <w:highlight w:val="white"/>
          <w:lang w:eastAsia="en-US"/>
        </w:rPr>
        <w:t xml:space="preserve">Перечень мероприятий комплекса процессных мероприятий</w:t>
      </w:r>
      <w:r>
        <w:rPr>
          <w:rFonts w:ascii="PT Astra Serif" w:hAnsi="PT Astra Serif" w:eastAsiaTheme="minorHAnsi" w:cstheme="minorBidi"/>
          <w:color w:val="000000"/>
          <w:sz w:val="24"/>
          <w:szCs w:val="24"/>
          <w:highlight w:val="white"/>
        </w:rPr>
      </w:r>
      <w:r>
        <w:rPr>
          <w:rFonts w:ascii="PT Astra Serif" w:hAnsi="PT Astra Serif" w:eastAsiaTheme="minorHAnsi" w:cstheme="minorBidi"/>
          <w:color w:val="000000"/>
          <w:sz w:val="24"/>
          <w:szCs w:val="24"/>
          <w:highlight w:val="white"/>
        </w:rPr>
      </w:r>
    </w:p>
    <w:tbl>
      <w:tblPr>
        <w:tblStyle w:val="1007"/>
        <w:tblpPr w:horzAnchor="text" w:tblpX="-68" w:vertAnchor="text" w:tblpY="1" w:leftFromText="180" w:topFromText="0" w:rightFromText="180" w:bottomFromText="0"/>
        <w:tblW w:w="15417" w:type="dxa"/>
        <w:tblLayout w:type="fixed"/>
        <w:tblLook w:val="04A0" w:firstRow="1" w:lastRow="0" w:firstColumn="1" w:lastColumn="0" w:noHBand="0" w:noVBand="1"/>
      </w:tblPr>
      <w:tblGrid>
        <w:gridCol w:w="743"/>
        <w:gridCol w:w="1843"/>
        <w:gridCol w:w="1559"/>
        <w:gridCol w:w="2126"/>
        <w:gridCol w:w="2268"/>
        <w:gridCol w:w="1651"/>
        <w:gridCol w:w="1069"/>
        <w:gridCol w:w="756"/>
        <w:gridCol w:w="709"/>
        <w:gridCol w:w="709"/>
        <w:gridCol w:w="992"/>
        <w:gridCol w:w="992"/>
      </w:tblGrid>
      <w:tr>
        <w:trPr>
          <w:trHeight w:val="245"/>
        </w:trPr>
        <w:tc>
          <w:tcPr>
            <w:tcW w:w="7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№ №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п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/п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ind w:firstLine="0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Наименование мероприятия (результата)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Тип мероприятия (результата)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vertAlign w:val="superscript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Характеристика мероприятия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vertAlign w:val="superscript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vertAlign w:val="superscript"/>
              </w:rPr>
            </w:r>
          </w:p>
        </w:tc>
        <w:tc>
          <w:tcPr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Наименование показателя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651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Единица измерения (по ОКЕИ)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06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3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Базовое значение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ind w:firstLine="33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2023 год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5"/>
            <w:tcW w:w="415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Планируемое значение показателя мероприятия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>
          <w:trHeight w:val="244"/>
        </w:trPr>
        <w:tc>
          <w:tcPr>
            <w:tcW w:w="743" w:type="dxa"/>
            <w:vMerge w:val="continue"/>
            <w:textDirection w:val="lrTb"/>
            <w:noWrap w:val="false"/>
          </w:tcPr>
          <w:p>
            <w:pPr>
              <w:contextualSpacing/>
              <w:spacing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contextualSpacing/>
              <w:spacing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contextualSpacing/>
              <w:spacing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</w:p>
        </w:tc>
        <w:tc>
          <w:tcPr>
            <w:tcW w:w="2268" w:type="dxa"/>
            <w:vMerge w:val="continue"/>
            <w:textDirection w:val="lrTb"/>
            <w:noWrap w:val="false"/>
          </w:tcPr>
          <w:p>
            <w:pPr>
              <w:contextualSpacing/>
              <w:spacing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</w:p>
        </w:tc>
        <w:tc>
          <w:tcPr>
            <w:tcW w:w="1651" w:type="dxa"/>
            <w:vMerge w:val="continue"/>
            <w:textDirection w:val="lrTb"/>
            <w:noWrap w:val="false"/>
          </w:tcPr>
          <w:p>
            <w:pPr>
              <w:contextualSpacing/>
              <w:spacing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</w:p>
        </w:tc>
        <w:tc>
          <w:tcPr>
            <w:tcW w:w="1069" w:type="dxa"/>
            <w:vMerge w:val="continue"/>
            <w:textDirection w:val="lrTb"/>
            <w:noWrap w:val="false"/>
          </w:tcPr>
          <w:p>
            <w:pPr>
              <w:contextualSpacing/>
              <w:spacing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</w:p>
        </w:tc>
        <w:tc>
          <w:tcPr>
            <w:tcW w:w="756" w:type="dxa"/>
            <w:vAlign w:val="center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2024 год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contextualSpacing/>
              <w:ind w:firstLine="33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2025 год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contextualSpacing/>
              <w:ind w:firstLine="32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2026 год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contextualSpacing/>
              <w:ind w:firstLine="32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Прогнозный период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ind w:firstLine="32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2027 год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contextualSpacing/>
              <w:ind w:firstLine="32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Прогнозный период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ind w:firstLine="32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2028 год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W w:w="743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val="en-US" w:eastAsia="en-US"/>
              </w:rPr>
              <w:t xml:space="preserve">1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.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shd w:val="clear" w:color="ffffff" w:themeColor="background1" w:fill="ffffff" w:themeFill="background1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shd w:val="clear" w:color="ffffff" w:themeColor="background1" w:fill="ffffff" w:themeFill="background1"/>
                <w:lang w:eastAsia="en-US"/>
              </w:rPr>
              <w:t xml:space="preserve">Выполнение государственных работ в сфере совершенствования системы учета и контроля государственного имущества Томской области областными государственными учреждениями, подведомственн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shd w:val="clear" w:color="ffffff" w:themeColor="background1" w:fill="ffffff" w:themeFill="background1"/>
                <w:lang w:eastAsia="en-US"/>
              </w:rPr>
              <w:t xml:space="preserve">ыми Департаменту по управлению государственной собственностью томской области, в соответствии с государственны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м заданием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Оказание услуг (выполнение работ)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Выполнение государственных работ, указанных в настоящем паспорте комплекса процессных мероприятий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contextualSpacing/>
              <w:ind w:firstLine="0"/>
              <w:widowControl/>
              <w:tabs>
                <w:tab w:val="left" w:pos="1105" w:leader="none"/>
              </w:tabs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Количество государственных работ, выполненных в полном объеме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651" w:type="dxa"/>
            <w:textDirection w:val="lrTb"/>
            <w:noWrap w:val="false"/>
          </w:tcPr>
          <w:p>
            <w:pPr>
              <w:contextualSpacing/>
              <w:ind w:firstLine="0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Единица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069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3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756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3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3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3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3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3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W w:w="743" w:type="dxa"/>
            <w:vMerge w:val="continue"/>
            <w:textDirection w:val="lrTb"/>
            <w:noWrap w:val="false"/>
          </w:tcPr>
          <w:p>
            <w:pPr>
              <w:contextualSpacing/>
              <w:spacing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contextualSpacing/>
              <w:spacing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contextualSpacing/>
              <w:spacing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contextualSpacing/>
              <w:ind w:firstLine="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Количество областных государственных учреждений, выполнивших государственные задания в полном объеме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651" w:type="dxa"/>
            <w:textDirection w:val="lrTb"/>
            <w:noWrap w:val="false"/>
          </w:tcPr>
          <w:p>
            <w:pPr>
              <w:contextualSpacing/>
              <w:ind w:firstLine="0"/>
              <w:spacing w:line="276" w:lineRule="auto"/>
              <w:widowControl/>
              <w:tabs>
                <w:tab w:val="left" w:pos="1105" w:leader="none"/>
              </w:tabs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Единица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069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756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</w:tbl>
    <w:p>
      <w:pPr>
        <w:contextualSpacing/>
        <w:jc w:val="center"/>
        <w:spacing w:after="200" w:line="276" w:lineRule="auto"/>
        <w:widowControl/>
        <w:rPr>
          <w:rFonts w:ascii="PT Astra Serif" w:hAnsi="PT Astra Serif" w:eastAsiaTheme="minorHAnsi" w:cstheme="minorBidi"/>
          <w:b/>
          <w:bCs/>
          <w:color w:val="000000"/>
          <w:sz w:val="24"/>
          <w:szCs w:val="24"/>
          <w:highlight w:val="white"/>
        </w:rPr>
      </w:pPr>
      <w:r>
        <w:rPr>
          <w:rFonts w:ascii="PT Astra Serif" w:hAnsi="PT Astra Serif" w:eastAsiaTheme="minorHAnsi" w:cstheme="minorBidi"/>
          <w:b/>
          <w:bCs/>
          <w:color w:val="000000"/>
          <w:sz w:val="24"/>
          <w:szCs w:val="24"/>
          <w:highlight w:val="white"/>
        </w:rPr>
      </w:r>
      <w:r>
        <w:rPr>
          <w:rFonts w:ascii="PT Astra Serif" w:hAnsi="PT Astra Serif" w:eastAsiaTheme="minorHAnsi" w:cstheme="minorBidi"/>
          <w:b/>
          <w:bCs/>
          <w:color w:val="000000"/>
          <w:sz w:val="24"/>
          <w:szCs w:val="24"/>
          <w:highlight w:val="white"/>
        </w:rPr>
      </w:r>
      <w:r>
        <w:rPr>
          <w:rFonts w:ascii="PT Astra Serif" w:hAnsi="PT Astra Serif" w:eastAsiaTheme="minorHAnsi" w:cstheme="minorBidi"/>
          <w:b/>
          <w:bCs/>
          <w:color w:val="000000"/>
          <w:sz w:val="24"/>
          <w:szCs w:val="24"/>
          <w:highlight w:val="white"/>
        </w:rPr>
      </w:r>
    </w:p>
    <w:p>
      <w:pPr>
        <w:contextualSpacing/>
        <w:jc w:val="center"/>
        <w:spacing w:after="200" w:line="276" w:lineRule="auto"/>
        <w:widowControl/>
        <w:rPr>
          <w:rFonts w:ascii="PT Astra Serif" w:hAnsi="PT Astra Serif" w:eastAsiaTheme="minorHAnsi" w:cstheme="minorBidi"/>
          <w:color w:val="000000"/>
          <w:sz w:val="24"/>
          <w:szCs w:val="24"/>
          <w:highlight w:val="white"/>
        </w:rPr>
      </w:pPr>
      <w:r>
        <w:rPr>
          <w:rFonts w:ascii="PT Astra Serif" w:hAnsi="PT Astra Serif" w:eastAsiaTheme="minorHAnsi" w:cstheme="minorBidi"/>
          <w:color w:val="000000"/>
          <w:sz w:val="24"/>
          <w:szCs w:val="24"/>
          <w:highlight w:val="white"/>
          <w:lang w:eastAsia="en-US"/>
        </w:rPr>
        <w:t xml:space="preserve">Финансовое обеспечение комплекса процессных мероприятий</w:t>
      </w:r>
      <w:r>
        <w:rPr>
          <w:rFonts w:ascii="PT Astra Serif" w:hAnsi="PT Astra Serif" w:eastAsiaTheme="minorHAnsi" w:cstheme="minorBidi"/>
          <w:color w:val="000000"/>
          <w:sz w:val="24"/>
          <w:szCs w:val="24"/>
          <w:highlight w:val="white"/>
        </w:rPr>
      </w:r>
      <w:r>
        <w:rPr>
          <w:rFonts w:ascii="PT Astra Serif" w:hAnsi="PT Astra Serif" w:eastAsiaTheme="minorHAnsi" w:cstheme="minorBidi"/>
          <w:color w:val="000000"/>
          <w:sz w:val="24"/>
          <w:szCs w:val="24"/>
          <w:highlight w:val="white"/>
        </w:rPr>
      </w:r>
    </w:p>
    <w:p>
      <w:pPr>
        <w:contextualSpacing/>
        <w:jc w:val="center"/>
        <w:spacing w:after="200" w:line="276" w:lineRule="auto"/>
        <w:widowControl/>
        <w:rPr>
          <w:rFonts w:ascii="PT Astra Serif" w:hAnsi="PT Astra Serif" w:eastAsiaTheme="minorHAnsi" w:cstheme="minorBidi"/>
          <w:color w:val="000000"/>
          <w:sz w:val="24"/>
          <w:szCs w:val="24"/>
          <w:highlight w:val="white"/>
        </w:rPr>
      </w:pPr>
      <w:r>
        <w:rPr>
          <w:rFonts w:ascii="PT Astra Serif" w:hAnsi="PT Astra Serif" w:eastAsiaTheme="minorHAnsi" w:cstheme="minorBidi"/>
          <w:color w:val="000000"/>
          <w:sz w:val="24"/>
          <w:szCs w:val="24"/>
          <w:highlight w:val="white"/>
        </w:rPr>
      </w:r>
      <w:r>
        <w:rPr>
          <w:rFonts w:ascii="PT Astra Serif" w:hAnsi="PT Astra Serif" w:eastAsiaTheme="minorHAnsi" w:cstheme="minorBidi"/>
          <w:color w:val="000000"/>
          <w:sz w:val="24"/>
          <w:szCs w:val="24"/>
          <w:highlight w:val="white"/>
        </w:rPr>
      </w:r>
      <w:r>
        <w:rPr>
          <w:rFonts w:ascii="PT Astra Serif" w:hAnsi="PT Astra Serif" w:eastAsiaTheme="minorHAnsi" w:cstheme="minorBidi"/>
          <w:color w:val="000000"/>
          <w:sz w:val="24"/>
          <w:szCs w:val="24"/>
          <w:highlight w:val="white"/>
        </w:rPr>
      </w:r>
    </w:p>
    <w:tbl>
      <w:tblPr>
        <w:tblStyle w:val="1007"/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954"/>
        <w:gridCol w:w="1559"/>
        <w:gridCol w:w="1560"/>
        <w:gridCol w:w="1984"/>
        <w:gridCol w:w="1418"/>
        <w:gridCol w:w="1559"/>
        <w:gridCol w:w="1417"/>
      </w:tblGrid>
      <w:tr>
        <w:trPr/>
        <w:tc>
          <w:tcPr>
            <w:tcW w:w="5954" w:type="dxa"/>
            <w:vMerge w:val="restart"/>
            <w:textDirection w:val="lrTb"/>
            <w:noWrap w:val="false"/>
          </w:tcPr>
          <w:p>
            <w:pPr>
              <w:contextualSpacing/>
              <w:ind w:left="34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  <w:p>
            <w:pPr>
              <w:contextualSpacing/>
              <w:ind w:left="34" w:firstLine="0"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Наименование мероприятия  / источник финансового обеспечения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0"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ГРБС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</w:tc>
        <w:tc>
          <w:tcPr>
            <w:gridSpan w:val="5"/>
            <w:tcW w:w="7938" w:type="dxa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Объем финансового обеспечения (тыс. руб.)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tcW w:w="5954" w:type="dxa"/>
            <w:vMerge w:val="continue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lang w:eastAsia="en-US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2024 год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2025 год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2026 год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hanging="5"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Прогнозный период 2027 год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ind w:hanging="5"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Прогнозный период 2028 год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</w:tc>
      </w:tr>
      <w:tr>
        <w:trPr>
          <w:trHeight w:val="502"/>
        </w:trPr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contextualSpacing/>
              <w:ind w:firstLine="0"/>
              <w:spacing w:line="276" w:lineRule="auto"/>
              <w:widowControl/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white"/>
                <w:lang w:eastAsia="en-US"/>
              </w:rPr>
              <w:t xml:space="preserve">Комплекс процессных мероприятий «Совершенствование системы учета и контроля государственного имущества Томской области» (всего), </w:t>
            </w: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white"/>
              </w:rPr>
            </w:r>
          </w:p>
          <w:p>
            <w:pPr>
              <w:contextualSpacing/>
              <w:spacing w:line="276" w:lineRule="auto"/>
              <w:widowControl/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white"/>
                <w:lang w:eastAsia="en-US"/>
              </w:rPr>
              <w:t xml:space="preserve">в том числе:</w:t>
            </w: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</w:rPr>
              <w:t xml:space="preserve">13 690,5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13 646,9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</w:rPr>
              <w:t xml:space="preserve">13 604,2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</w:rPr>
              <w:t xml:space="preserve">13 604,2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</w:rPr>
              <w:t xml:space="preserve">13 604,2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в 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т.ч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.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областной бюджет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</w:rPr>
              <w:t xml:space="preserve">13 690,5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13 646,9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</w:rPr>
              <w:t xml:space="preserve">13 604,2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</w:rPr>
              <w:t xml:space="preserve">13 604,2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</w:rPr>
              <w:t xml:space="preserve">13 604,2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contextualSpacing/>
              <w:ind w:firstLine="0"/>
              <w:spacing w:line="276" w:lineRule="auto"/>
              <w:widowControl/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white"/>
                <w:lang w:eastAsia="en-US"/>
              </w:rPr>
              <w:t xml:space="preserve">Мероприятие  «Выполнение государственных работ в сфере совершенствования</w:t>
            </w: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white"/>
                <w:lang w:eastAsia="en-US"/>
              </w:rPr>
              <w:t xml:space="preserve"> системы учета и контроля государственного имущества Томской области областными государственными учреждениями, подведомственными Департаменту по управлению государственной собственностью Томской области, в соответствии с государственным заданием» (всего), </w:t>
            </w: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white"/>
              </w:rPr>
            </w:r>
          </w:p>
          <w:p>
            <w:pPr>
              <w:contextualSpacing/>
              <w:spacing w:line="276" w:lineRule="auto"/>
              <w:widowControl/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white"/>
                <w:lang w:eastAsia="en-US"/>
              </w:rPr>
              <w:t xml:space="preserve">в том числе:</w:t>
            </w: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</w:rPr>
              <w:t xml:space="preserve">13 690,5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13 646,9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</w:rPr>
              <w:t xml:space="preserve">13 604,2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</w:rPr>
              <w:t xml:space="preserve">13 604,2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</w:rPr>
              <w:t xml:space="preserve">13 604,2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в 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т.ч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.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областной бюджет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</w:rPr>
              <w:t xml:space="preserve">13 690,5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13 646,9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</w:rPr>
              <w:t xml:space="preserve">13 604,2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</w:rPr>
              <w:t xml:space="preserve">13 604,2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</w:rPr>
              <w:t xml:space="preserve">13 604,2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  <w:lang w:eastAsia="en-US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</w:tbl>
    <w:p>
      <w:pPr>
        <w:contextualSpacing/>
        <w:jc w:val="right"/>
        <w:spacing w:after="200" w:line="276" w:lineRule="auto"/>
        <w:widowControl/>
        <w:rPr>
          <w:rFonts w:ascii="PT Astra Serif" w:hAnsi="PT Astra Serif" w:eastAsiaTheme="minorHAnsi" w:cstheme="minorBidi"/>
          <w:sz w:val="22"/>
          <w:szCs w:val="26"/>
          <w:highlight w:val="white"/>
        </w:rPr>
      </w:pPr>
      <w:r>
        <w:rPr>
          <w:rFonts w:ascii="PT Astra Serif" w:hAnsi="PT Astra Serif" w:eastAsiaTheme="minorHAnsi" w:cstheme="minorBidi"/>
          <w:sz w:val="22"/>
          <w:szCs w:val="26"/>
          <w:highlight w:val="white"/>
        </w:rPr>
      </w:r>
      <w:r>
        <w:rPr>
          <w:rFonts w:ascii="PT Astra Serif" w:hAnsi="PT Astra Serif" w:eastAsiaTheme="minorHAnsi" w:cstheme="minorBidi"/>
          <w:sz w:val="22"/>
          <w:szCs w:val="26"/>
          <w:highlight w:val="white"/>
        </w:rPr>
      </w:r>
      <w:r>
        <w:rPr>
          <w:rFonts w:ascii="PT Astra Serif" w:hAnsi="PT Astra Serif" w:eastAsiaTheme="minorHAnsi" w:cstheme="minorBidi"/>
          <w:sz w:val="22"/>
          <w:szCs w:val="26"/>
          <w:highlight w:val="white"/>
        </w:rPr>
      </w:r>
    </w:p>
    <w:p>
      <w:pPr>
        <w:contextualSpacing/>
        <w:jc w:val="center"/>
        <w:spacing w:after="200" w:line="276" w:lineRule="auto"/>
        <w:widowControl/>
        <w:rPr>
          <w:rFonts w:ascii="PT Astra Serif" w:hAnsi="PT Astra Serif" w:eastAsiaTheme="minorHAnsi" w:cstheme="minorBidi"/>
          <w:sz w:val="26"/>
          <w:szCs w:val="26"/>
          <w:highlight w:val="white"/>
        </w:rPr>
      </w:pP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</w:p>
    <w:p>
      <w:pPr>
        <w:contextualSpacing/>
        <w:jc w:val="center"/>
        <w:spacing w:after="200" w:line="276" w:lineRule="auto"/>
        <w:widowControl/>
        <w:rPr>
          <w:rFonts w:ascii="PT Astra Serif" w:hAnsi="PT Astra Serif" w:eastAsiaTheme="minorHAnsi" w:cstheme="minorBidi"/>
          <w:sz w:val="24"/>
          <w:szCs w:val="24"/>
          <w:highlight w:val="white"/>
        </w:rPr>
      </w:pPr>
      <w:r>
        <w:rPr>
          <w:rFonts w:ascii="PT Astra Serif" w:hAnsi="PT Astra Serif" w:eastAsiaTheme="minorHAnsi" w:cstheme="minorBidi"/>
          <w:sz w:val="24"/>
          <w:szCs w:val="24"/>
          <w:highlight w:val="white"/>
          <w:lang w:eastAsia="en-US"/>
        </w:rPr>
        <w:t xml:space="preserve">План реализации комплекса процессных мероприятий</w:t>
      </w:r>
      <w:r>
        <w:rPr>
          <w:rFonts w:ascii="PT Astra Serif" w:hAnsi="PT Astra Serif" w:eastAsiaTheme="minorHAnsi" w:cstheme="minorBidi"/>
          <w:sz w:val="24"/>
          <w:szCs w:val="24"/>
          <w:highlight w:val="white"/>
        </w:rPr>
      </w:r>
      <w:r>
        <w:rPr>
          <w:rFonts w:ascii="PT Astra Serif" w:hAnsi="PT Astra Serif" w:eastAsiaTheme="minorHAnsi" w:cstheme="minorBidi"/>
          <w:sz w:val="24"/>
          <w:szCs w:val="24"/>
          <w:highlight w:val="white"/>
        </w:rPr>
      </w:r>
    </w:p>
    <w:p>
      <w:pPr>
        <w:contextualSpacing/>
        <w:jc w:val="center"/>
        <w:spacing w:after="200" w:line="276" w:lineRule="auto"/>
        <w:widowControl/>
        <w:rPr>
          <w:rFonts w:ascii="PT Astra Serif" w:hAnsi="PT Astra Serif" w:eastAsiaTheme="minorHAnsi" w:cstheme="minorBidi"/>
          <w:sz w:val="26"/>
          <w:szCs w:val="26"/>
          <w:highlight w:val="white"/>
        </w:rPr>
      </w:pP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</w:p>
    <w:tbl>
      <w:tblPr>
        <w:tblStyle w:val="888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712"/>
        <w:gridCol w:w="1674"/>
        <w:gridCol w:w="1843"/>
        <w:gridCol w:w="3063"/>
        <w:gridCol w:w="2193"/>
        <w:gridCol w:w="2193"/>
      </w:tblGrid>
      <w:tr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№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п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/п</w:t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highlight w:val="white"/>
              </w:rPr>
            </w:r>
          </w:p>
        </w:tc>
        <w:tc>
          <w:tcPr>
            <w:tcW w:w="371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Задача, мероприятие (результат)/контрольная точка</w:t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highlight w:val="white"/>
              </w:rPr>
            </w:r>
          </w:p>
        </w:tc>
        <w:tc>
          <w:tcPr>
            <w:tcW w:w="167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Дата наступления контрольной точки (начало)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Дата наступления контрольной точки (окончание)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0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Ответственный исполнитель (наименование исполнительного органа, иного государственного органа, организации)</w:t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highlight w:val="white"/>
              </w:rPr>
            </w:r>
          </w:p>
        </w:tc>
        <w:tc>
          <w:tcPr>
            <w:tcW w:w="2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Вид подтверждающего документа</w:t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highlight w:val="white"/>
              </w:rPr>
            </w:r>
          </w:p>
        </w:tc>
        <w:tc>
          <w:tcPr>
            <w:tcW w:w="2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Информационная система (источник данных)</w:t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highlight w:val="white"/>
              </w:rPr>
            </w:r>
          </w:p>
        </w:tc>
      </w:tr>
      <w:tr>
        <w:trPr>
          <w:trHeight w:val="324"/>
        </w:trPr>
        <w:tc>
          <w:tcPr>
            <w:gridSpan w:val="7"/>
            <w:tcW w:w="15353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Осуществление мероприятий, направленных на совершенствование системы учета и контроля государственного имущества Томской области</w:t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1.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712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Выполнение государственных работ в сфере совершенствования системы учета и контроля государственного имущества Томской области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областными государственными учреждениями, подведомственными Департаменту по управлению государственной собственностью Томской области, в соответствии с государственным заданием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01.01.2024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31.12.2026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06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ДУГС ТО</w:t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Отчет (отчет об использ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</w:rPr>
              <w:t xml:space="preserve">овании субсидии, отчет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об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исполнении государственного задания)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675" w:type="dxa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1.1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Документ принят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19.01.2024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06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Закон (областной закон об областном бюджете)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</w:rPr>
              <w:t xml:space="preserve">ЕИС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КонсультантПлюс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1.2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01.02.2024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06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1.3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05.02.2024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06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Соглашение (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</w:rPr>
              <w:t xml:space="preserve">с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оглашение о порядке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1.4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Услуга оказана (работы выполнены)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</w:rPr>
              <w:t xml:space="preserve">27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.12.2024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06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yellow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</w:rPr>
              <w:t xml:space="preserve">Платежное поручение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(платежный документ)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yellow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yellow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1.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Документ принят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</w:rPr>
              <w:t xml:space="preserve">20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.01.202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06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yellow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Закон  (областной закон об областном бюджете)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yellow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yellow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</w:rPr>
              <w:t xml:space="preserve">ЕИС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КонсультантПлюс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1.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6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03.02.2025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06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1.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7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05.02.2025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06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1.8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</w:p>
        </w:tc>
        <w:tc>
          <w:tcPr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yellow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yellow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yellow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yellow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03.03.2025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06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Отчет (отчет об использовании субсидии, отчет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об исполнении государственного задания за 2024 год)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1.9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Услуга оказана (работы выполнены)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</w:rPr>
              <w:t xml:space="preserve">29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.12.2025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06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yellow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</w:rPr>
              <w:t xml:space="preserve">Платежное поручение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(платежный документ)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yellow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yellow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1.1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Д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окумент принят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</w:rPr>
              <w:t xml:space="preserve">19.01.2026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06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Закон  (областной закон об областном бюджете)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</w:rPr>
              <w:t xml:space="preserve">ЕИС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КонсультантПлюс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1.11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Государственное задание на оказание государственных услуг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(выполнение работ) утверждено (включено в реестр государственных заданий)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03.02.2026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06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Распоряжение (распоряжение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1.12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05.02.2026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06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1.13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</w:p>
        </w:tc>
        <w:tc>
          <w:tcPr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02.03.2026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06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Отчет (отчет об использовании субсидии, отчет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об исполнении государственного задания за 2025 год)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>
          <w:trHeight w:val="291"/>
        </w:trPr>
        <w:tc>
          <w:tcPr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1.14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Услуга оказана (работы выполнены)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1674" w:type="dxa"/>
            <w:vMerge w:val="restart"/>
            <w:textDirection w:val="lrTb"/>
            <w:noWrap w:val="false"/>
          </w:tcPr>
          <w:p>
            <w:pPr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</w:rPr>
              <w:t xml:space="preserve">29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.12.2026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306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yellow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</w:rPr>
              <w:t xml:space="preserve">Платежное поручение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(платежный документ)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yellow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yellow"/>
              </w:rPr>
            </w:r>
          </w:p>
        </w:tc>
        <w:tc>
          <w:tcPr>
            <w:tcW w:w="21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</w:tbl>
    <w:p>
      <w:pPr>
        <w:contextualSpacing/>
        <w:jc w:val="center"/>
        <w:spacing w:after="200"/>
        <w:widowControl/>
        <w:rPr>
          <w:rFonts w:ascii="PT Astra Serif" w:hAnsi="PT Astra Serif" w:eastAsiaTheme="minorHAnsi" w:cstheme="minorBidi"/>
          <w:sz w:val="26"/>
          <w:szCs w:val="26"/>
          <w:highlight w:val="white"/>
        </w:rPr>
      </w:pP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</w:p>
    <w:p>
      <w:pPr>
        <w:contextualSpacing/>
        <w:jc w:val="center"/>
        <w:spacing w:after="200"/>
        <w:widowControl/>
        <w:rPr>
          <w:rFonts w:ascii="PT Astra Serif" w:hAnsi="PT Astra Serif" w:eastAsiaTheme="minorHAnsi" w:cstheme="minorBidi"/>
          <w:sz w:val="26"/>
          <w:szCs w:val="26"/>
          <w:highlight w:val="white"/>
        </w:rPr>
      </w:pP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</w:p>
    <w:p>
      <w:pPr>
        <w:contextualSpacing/>
        <w:jc w:val="center"/>
        <w:spacing w:after="200"/>
        <w:widowControl/>
        <w:rPr>
          <w:rFonts w:ascii="PT Astra Serif" w:hAnsi="PT Astra Serif" w:eastAsiaTheme="minorHAnsi" w:cstheme="minorBidi"/>
          <w:sz w:val="26"/>
          <w:szCs w:val="26"/>
          <w:highlight w:val="white"/>
        </w:rPr>
      </w:pP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</w:p>
    <w:p>
      <w:pPr>
        <w:contextualSpacing/>
        <w:jc w:val="center"/>
        <w:spacing w:after="200"/>
        <w:widowControl/>
        <w:rPr>
          <w:rFonts w:ascii="PT Astra Serif" w:hAnsi="PT Astra Serif" w:eastAsiaTheme="minorHAnsi" w:cstheme="minorBidi"/>
          <w:sz w:val="26"/>
          <w:szCs w:val="26"/>
          <w:highlight w:val="white"/>
        </w:rPr>
      </w:pP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</w:p>
    <w:p>
      <w:pPr>
        <w:contextualSpacing/>
        <w:jc w:val="center"/>
        <w:spacing w:after="200"/>
        <w:widowControl/>
        <w:rPr>
          <w:rFonts w:ascii="PT Astra Serif" w:hAnsi="PT Astra Serif" w:eastAsiaTheme="minorHAnsi" w:cstheme="minorBidi"/>
          <w:sz w:val="26"/>
          <w:szCs w:val="26"/>
          <w:highlight w:val="white"/>
        </w:rPr>
      </w:pP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</w:p>
    <w:p>
      <w:pPr>
        <w:contextualSpacing/>
        <w:jc w:val="center"/>
        <w:spacing w:after="200"/>
        <w:widowControl/>
        <w:rPr>
          <w:rFonts w:ascii="PT Astra Serif" w:hAnsi="PT Astra Serif" w:eastAsiaTheme="minorHAnsi" w:cstheme="minorBidi"/>
          <w:sz w:val="26"/>
          <w:szCs w:val="26"/>
          <w:highlight w:val="white"/>
        </w:rPr>
      </w:pP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  <w:r>
        <w:rPr>
          <w:rFonts w:ascii="PT Astra Serif" w:hAnsi="PT Astra Serif" w:eastAsiaTheme="minorHAnsi" w:cstheme="minorBidi"/>
          <w:sz w:val="26"/>
          <w:szCs w:val="26"/>
          <w:highlight w:val="white"/>
        </w:rPr>
      </w:r>
    </w:p>
    <w:p>
      <w:pPr>
        <w:contextualSpacing/>
        <w:jc w:val="center"/>
        <w:spacing w:after="200" w:line="276" w:lineRule="auto"/>
        <w:widowControl/>
        <w:rPr>
          <w:rFonts w:ascii="PT Astra Serif" w:hAnsi="PT Astra Serif" w:eastAsiaTheme="minorHAnsi" w:cstheme="minorBidi"/>
          <w:sz w:val="24"/>
          <w:szCs w:val="24"/>
          <w:highlight w:val="white"/>
        </w:rPr>
      </w:pPr>
      <w:r>
        <w:rPr>
          <w:rFonts w:ascii="PT Astra Serif" w:hAnsi="PT Astra Serif" w:eastAsiaTheme="minorHAnsi" w:cstheme="minorBidi"/>
          <w:sz w:val="24"/>
          <w:szCs w:val="24"/>
          <w:highlight w:val="white"/>
          <w:lang w:eastAsia="en-US"/>
        </w:rPr>
        <w:t xml:space="preserve">Сводная информация об объемах государственных услуг (работ), оказываемых (выполняемых) областными государственными учреждениями в соответствии с государственным заданием, в рамках реализации комплекса процессных мероприятий </w:t>
      </w:r>
      <w:r>
        <w:rPr>
          <w:rFonts w:ascii="PT Astra Serif" w:hAnsi="PT Astra Serif" w:eastAsiaTheme="minorHAnsi" w:cstheme="minorBidi"/>
          <w:sz w:val="24"/>
          <w:szCs w:val="24"/>
        </w:rPr>
        <w:t xml:space="preserve">(КПМ)</w:t>
      </w:r>
      <w:r>
        <w:rPr>
          <w:rFonts w:ascii="PT Astra Serif" w:hAnsi="PT Astra Serif" w:eastAsiaTheme="minorHAnsi" w:cstheme="minorBidi"/>
          <w:sz w:val="24"/>
          <w:szCs w:val="24"/>
          <w:highlight w:val="white"/>
        </w:rPr>
      </w:r>
      <w:r>
        <w:rPr>
          <w:rFonts w:ascii="PT Astra Serif" w:hAnsi="PT Astra Serif" w:eastAsiaTheme="minorHAnsi" w:cstheme="minorBidi"/>
          <w:sz w:val="24"/>
          <w:szCs w:val="24"/>
          <w:highlight w:val="white"/>
        </w:rPr>
      </w:r>
    </w:p>
    <w:p>
      <w:pPr>
        <w:contextualSpacing/>
        <w:jc w:val="center"/>
        <w:spacing w:after="200" w:line="276" w:lineRule="auto"/>
        <w:widowControl/>
        <w:rPr>
          <w:rFonts w:ascii="PT Astra Serif" w:hAnsi="PT Astra Serif" w:eastAsiaTheme="minorHAnsi" w:cstheme="minorBidi"/>
          <w:sz w:val="24"/>
          <w:szCs w:val="24"/>
          <w:highlight w:val="white"/>
        </w:rPr>
      </w:pPr>
      <w:r>
        <w:rPr>
          <w:rFonts w:ascii="PT Astra Serif" w:hAnsi="PT Astra Serif" w:eastAsiaTheme="minorHAnsi" w:cstheme="minorBidi"/>
          <w:sz w:val="24"/>
          <w:szCs w:val="24"/>
          <w:highlight w:val="white"/>
          <w:lang w:eastAsia="en-US"/>
        </w:rPr>
        <w:t xml:space="preserve">«Совершенствование системы учета и контроля государственного имущества Томской области»</w:t>
      </w:r>
      <w:r>
        <w:rPr>
          <w:rFonts w:ascii="PT Astra Serif" w:hAnsi="PT Astra Serif" w:eastAsiaTheme="minorHAnsi" w:cstheme="minorBidi"/>
          <w:sz w:val="24"/>
          <w:szCs w:val="24"/>
          <w:highlight w:val="white"/>
        </w:rPr>
      </w:r>
      <w:r>
        <w:rPr>
          <w:rFonts w:ascii="PT Astra Serif" w:hAnsi="PT Astra Serif" w:eastAsiaTheme="minorHAnsi" w:cstheme="minorBidi"/>
          <w:sz w:val="24"/>
          <w:szCs w:val="24"/>
          <w:highlight w:val="white"/>
        </w:rPr>
      </w:r>
    </w:p>
    <w:p>
      <w:pPr>
        <w:contextualSpacing/>
        <w:jc w:val="center"/>
        <w:spacing w:after="200" w:line="276" w:lineRule="auto"/>
        <w:widowControl/>
        <w:rPr>
          <w:rFonts w:ascii="PT Astra Serif" w:hAnsi="PT Astra Serif" w:eastAsiaTheme="minorHAnsi" w:cstheme="minorBidi"/>
          <w:sz w:val="22"/>
          <w:szCs w:val="22"/>
          <w:highlight w:val="white"/>
        </w:rPr>
      </w:pPr>
      <w:r>
        <w:rPr>
          <w:rFonts w:ascii="PT Astra Serif" w:hAnsi="PT Astra Serif" w:eastAsiaTheme="minorHAnsi" w:cstheme="minorBidi"/>
          <w:sz w:val="22"/>
          <w:szCs w:val="22"/>
          <w:highlight w:val="white"/>
        </w:rPr>
      </w:r>
      <w:r>
        <w:rPr>
          <w:rFonts w:ascii="PT Astra Serif" w:hAnsi="PT Astra Serif" w:eastAsiaTheme="minorHAnsi" w:cstheme="minorBidi"/>
          <w:sz w:val="22"/>
          <w:szCs w:val="22"/>
          <w:highlight w:val="white"/>
        </w:rPr>
      </w:r>
      <w:r>
        <w:rPr>
          <w:rFonts w:ascii="PT Astra Serif" w:hAnsi="PT Astra Serif" w:eastAsiaTheme="minorHAnsi" w:cstheme="minorBidi"/>
          <w:sz w:val="22"/>
          <w:szCs w:val="22"/>
          <w:highlight w:val="white"/>
        </w:rPr>
      </w:r>
    </w:p>
    <w:tbl>
      <w:tblPr>
        <w:tblW w:w="1517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711"/>
        <w:gridCol w:w="2126"/>
        <w:gridCol w:w="1559"/>
        <w:gridCol w:w="1843"/>
        <w:gridCol w:w="1559"/>
        <w:gridCol w:w="1134"/>
        <w:gridCol w:w="992"/>
        <w:gridCol w:w="851"/>
        <w:gridCol w:w="992"/>
        <w:gridCol w:w="992"/>
        <w:gridCol w:w="993"/>
      </w:tblGrid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№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п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/п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Наименование государственной услуги (работы)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Содержание государственной услуги (работы)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Условия оказания государственной услуги (выполнения работы)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Областные государственные учреждения, оказывающие государственную услугу (выполняющие работу)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Наименование и единица измерения показателей объема государственной услуги (работы)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Значения показателя объема государственной услуги (работы)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Объем бюджетных ассигнований (тыс. руб.)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2024 год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2025 год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2026 год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2024 год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2025 год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2026 год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1.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gridSpan w:val="11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752" w:type="dxa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Государственные работы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1.1.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Обследование объектов недвижимого имущества для определения вида их фактического использования для целей налогообложения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6" w:type="dxa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Выезд на осмотр объекта недвижимого имущества на территории Томской области (далее - объект), анализ и обработка представленной информации, формирование акта по итогам обследования объекта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В соответствии с утвержденным планом мероприятий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ОГБСУ «Областное имущественное казначейство»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200"/>
              <w:widowControl/>
              <w:tabs>
                <w:tab w:val="center" w:pos="769" w:leader="none"/>
              </w:tabs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Количество обследованных объектов (штук)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412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412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412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1 744,9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1 738,7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1 732,5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>
          <w:trHeight w:val="9607"/>
        </w:trPr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426" w:type="dxa"/>
            <w:vMerge w:val="restart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1.2.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1711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Обеспечение осуществления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контроля за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 эффективностью использования и сохранностью государственного имущества Томской области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6" w:type="dxa"/>
            <w:textDirection w:val="lrTb"/>
            <w:noWrap w:val="false"/>
          </w:tcPr>
          <w:p>
            <w:pPr>
              <w:contextualSpacing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Проведение плановых и внеплановых проверок эффективности использования и сохранности государственного имущества Томской области (за исключением земельных участков), в том числе: органи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зация осмотра объектов, анализ и обработка полученной в ходе осмотра информации, составление актов проверок эффективности использования и сохранности имущества, вручение акта проверки эффективности использования и сохранности имущества владельцу имущества.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Подготовка предложений: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по повышению эффективности использования и (или) сохранности имущества (за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исключением земельных участков), по установлени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ю срока для устранения указанных в акте проверки эффективности использования и сохранности имущества нарушений, по установлению срока представления отчета об устранении указанных в акте проверки эффективности использования и сохранности имущества нарушений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Не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установлены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 ОГБСУ «Областное имущественное казначейство»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Количество объектов, в отношении которых проведены проверки (штук)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262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262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262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1 029,2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1 025,5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1 021,9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>
          <w:trHeight w:val="67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Merge w:val="continue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Merge w:val="continue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6" w:type="dxa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Проведение плановых и внеплановых проверок в отношении земельных участков, находящихся в государственной собственности Томской области, в том числе: обследован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ие и фотосъемка земельных участков; сбор сведений (документов), необходимых для проведения проверок; анализ и обработка информации, полученной при проведении проверок; составление актов проверок эффективности использования и сохранности земельных участков.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Подготовка предложений: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по повышению эффективности использования и (или) сохранности земельного участка;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по установлению срока для устранения указанных в акте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проверки нарушений;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  <w:p>
            <w:pPr>
              <w:contextualSpacing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по установлению срока представления отчета об устранении указанных в акте проверки нарушений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Не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установлены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Количество земельных участков, в отношении которых проведены проверки (штук)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90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90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90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976,4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976,4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976,4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>
          <w:trHeight w:val="67"/>
        </w:trPr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426" w:type="dxa"/>
            <w:vMerge w:val="restart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1.3.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1711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Организационно-техническое обеспечение деятельности уполномоченного органа по управлению областным государственным имуществом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6" w:type="dxa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Сбор, подготовка, обработка информации, проектов правовых актов и иных документов, связанных с управлением и распоряжением государственным имуществом Томской области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Не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установлены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ОГБСУ «Областное имущественное казначейство»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Количество подготовленных проектов документов и иной информации (штук)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2 964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2 964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2 964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6 704,9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6 680,7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6 657,1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Borders>
              <w:left w:val="single" w:color="000000" w:sz="8" w:space="0"/>
              <w:right w:val="single" w:color="000000" w:sz="8" w:space="0"/>
            </w:tcBorders>
            <w:tcW w:w="426" w:type="dxa"/>
            <w:vMerge w:val="continue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left w:val="single" w:color="000000" w:sz="8" w:space="0"/>
              <w:right w:val="single" w:color="000000" w:sz="8" w:space="0"/>
            </w:tcBorders>
            <w:tcW w:w="1711" w:type="dxa"/>
            <w:vMerge w:val="continue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6" w:type="dxa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Осуществление мероприятий по ведению Реестра государственного имущества Томской области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contextualSpacing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Количество мероприятий (единиц)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1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2 631,1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2 621,6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2 612,3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gridSpan w:val="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2201" w:type="dxa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Затраты на уплату налогов, в качестве объекта налогообложения по которым признается имущество областных государственных учреждений 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604,0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604,0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604,0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</w:tr>
      <w:tr>
        <w:trPr/>
        <w:tc>
          <w:tcPr>
            <w:gridSpan w:val="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2201" w:type="dxa"/>
            <w:textDirection w:val="lrTb"/>
            <w:noWrap w:val="false"/>
          </w:tcPr>
          <w:p>
            <w:pPr>
              <w:contextualSpacing/>
              <w:spacing w:after="200"/>
              <w:widowControl/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  <w:lang w:eastAsia="en-US"/>
              </w:rPr>
              <w:t xml:space="preserve">Итого  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13 690,5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13 646,9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200" w:line="276" w:lineRule="auto"/>
              <w:widowControl/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  <w:t xml:space="preserve">13 604,2»</w:t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2"/>
                <w:szCs w:val="22"/>
                <w:lang w:eastAsia="en-US"/>
              </w:rPr>
            </w:r>
          </w:p>
        </w:tc>
      </w:tr>
    </w:tbl>
    <w:p>
      <w:pPr>
        <w:contextualSpacing/>
        <w:spacing w:after="200" w:line="276" w:lineRule="auto"/>
        <w:widowControl/>
        <w:rPr>
          <w:rFonts w:ascii="PT Astra Serif" w:hAnsi="PT Astra Serif" w:eastAsiaTheme="minorHAnsi" w:cstheme="minorBidi"/>
          <w:sz w:val="22"/>
          <w:szCs w:val="22"/>
          <w:highlight w:val="white"/>
        </w:rPr>
      </w:pPr>
      <w:r>
        <w:rPr>
          <w:rFonts w:ascii="PT Astra Serif" w:hAnsi="PT Astra Serif" w:eastAsiaTheme="minorHAnsi" w:cstheme="minorBidi"/>
          <w:sz w:val="22"/>
          <w:szCs w:val="22"/>
          <w:highlight w:val="white"/>
        </w:rPr>
      </w:r>
      <w:r>
        <w:rPr>
          <w:rFonts w:ascii="PT Astra Serif" w:hAnsi="PT Astra Serif" w:eastAsiaTheme="minorHAnsi" w:cstheme="minorBidi"/>
          <w:sz w:val="22"/>
          <w:szCs w:val="22"/>
          <w:highlight w:val="white"/>
        </w:rPr>
      </w:r>
      <w:r>
        <w:rPr>
          <w:rFonts w:ascii="PT Astra Serif" w:hAnsi="PT Astra Serif" w:eastAsiaTheme="minorHAnsi" w:cstheme="minorBidi"/>
          <w:sz w:val="22"/>
          <w:szCs w:val="22"/>
          <w:highlight w:val="white"/>
        </w:rPr>
      </w:r>
    </w:p>
    <w:p>
      <w:r/>
      <w:r/>
    </w:p>
    <w:sectPr>
      <w:footnotePr/>
      <w:endnotePr/>
      <w:type w:val="nextPage"/>
      <w:pgSz w:w="16838" w:h="11906" w:orient="landscape"/>
      <w:pgMar w:top="1134" w:right="567" w:bottom="1134" w:left="1134" w:header="567" w:footer="567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XO Thames">
    <w:panose1 w:val="02000603000000000000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455712757"/>
      <w:docPartObj>
        <w:docPartGallery w:val="Page Numbers (Top of Page)"/>
        <w:docPartUnique w:val="true"/>
      </w:docPartObj>
      <w:rPr/>
    </w:sdtPr>
    <w:sdtContent>
      <w:p>
        <w:pPr>
          <w:pStyle w:val="882"/>
          <w:rPr>
            <w:b w:val="0"/>
          </w:rPr>
        </w:pPr>
        <w:r>
          <w:rPr>
            <w:b w:val="0"/>
          </w:rPr>
          <w:fldChar w:fldCharType="begin"/>
        </w:r>
        <w:r>
          <w:rPr>
            <w:b w:val="0"/>
          </w:rPr>
          <w:instrText xml:space="preserve">PAGE   \* MERGEFORMAT</w:instrText>
        </w:r>
        <w:r>
          <w:rPr>
            <w:b w:val="0"/>
          </w:rPr>
          <w:fldChar w:fldCharType="separate"/>
        </w:r>
        <w:r>
          <w:rPr>
            <w:b w:val="0"/>
          </w:rPr>
          <w:t xml:space="preserve">23</w:t>
        </w:r>
        <w:r>
          <w:rPr>
            <w:b w:val="0"/>
          </w:rPr>
          <w:fldChar w:fldCharType="end"/>
        </w:r>
        <w:r>
          <w:rPr>
            <w:b w:val="0"/>
          </w:rPr>
        </w:r>
        <w:r>
          <w:rPr>
            <w:b w:val="0"/>
          </w:rPr>
        </w:r>
      </w:p>
    </w:sdtContent>
  </w:sdt>
  <w:p>
    <w:pPr>
      <w:pStyle w:val="88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pStyle w:val="966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2" w:default="1">
    <w:name w:val="Normal"/>
    <w:qFormat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713">
    <w:name w:val="Heading 1"/>
    <w:basedOn w:val="712"/>
    <w:link w:val="896"/>
    <w:qFormat/>
    <w:pPr>
      <w:spacing w:before="120" w:after="120"/>
      <w:widowControl/>
      <w:outlineLvl w:val="0"/>
    </w:pPr>
    <w:rPr>
      <w:rFonts w:ascii="XO Thames" w:hAnsi="XO Thames"/>
      <w:b/>
      <w:color w:val="000000"/>
      <w:sz w:val="32"/>
    </w:rPr>
  </w:style>
  <w:style w:type="paragraph" w:styleId="714">
    <w:name w:val="Heading 2"/>
    <w:basedOn w:val="712"/>
    <w:link w:val="897"/>
    <w:qFormat/>
    <w:pPr>
      <w:spacing w:before="120" w:after="120"/>
      <w:widowControl/>
      <w:outlineLvl w:val="1"/>
    </w:pPr>
    <w:rPr>
      <w:rFonts w:ascii="XO Thames" w:hAnsi="XO Thames"/>
      <w:b/>
      <w:color w:val="00a0ff"/>
      <w:sz w:val="26"/>
    </w:rPr>
  </w:style>
  <w:style w:type="paragraph" w:styleId="715">
    <w:name w:val="Heading 3"/>
    <w:basedOn w:val="712"/>
    <w:link w:val="898"/>
    <w:qFormat/>
    <w:pPr>
      <w:widowControl/>
      <w:outlineLvl w:val="2"/>
    </w:pPr>
    <w:rPr>
      <w:rFonts w:ascii="XO Thames" w:hAnsi="XO Thames"/>
      <w:b/>
      <w:i/>
      <w:color w:val="000000"/>
    </w:rPr>
  </w:style>
  <w:style w:type="paragraph" w:styleId="716">
    <w:name w:val="Heading 4"/>
    <w:basedOn w:val="712"/>
    <w:link w:val="899"/>
    <w:qFormat/>
    <w:pPr>
      <w:spacing w:before="120" w:after="120"/>
      <w:widowControl/>
      <w:outlineLvl w:val="3"/>
    </w:pPr>
    <w:rPr>
      <w:rFonts w:ascii="XO Thames" w:hAnsi="XO Thames"/>
      <w:b/>
      <w:color w:val="595959"/>
      <w:sz w:val="26"/>
    </w:rPr>
  </w:style>
  <w:style w:type="paragraph" w:styleId="717">
    <w:name w:val="Heading 5"/>
    <w:basedOn w:val="712"/>
    <w:link w:val="900"/>
    <w:qFormat/>
    <w:pPr>
      <w:spacing w:before="120" w:after="120"/>
      <w:widowControl/>
      <w:outlineLvl w:val="4"/>
    </w:pPr>
    <w:rPr>
      <w:rFonts w:ascii="XO Thames" w:hAnsi="XO Thames"/>
      <w:b/>
      <w:color w:val="000000"/>
      <w:sz w:val="22"/>
    </w:rPr>
  </w:style>
  <w:style w:type="paragraph" w:styleId="718">
    <w:name w:val="Heading 6"/>
    <w:basedOn w:val="712"/>
    <w:next w:val="712"/>
    <w:link w:val="938"/>
    <w:qFormat/>
    <w:pPr>
      <w:jc w:val="both"/>
      <w:keepNext/>
      <w:widowControl/>
      <w:outlineLvl w:val="5"/>
    </w:pPr>
    <w:rPr>
      <w:i/>
      <w:sz w:val="28"/>
    </w:rPr>
  </w:style>
  <w:style w:type="paragraph" w:styleId="719">
    <w:name w:val="Heading 7"/>
    <w:basedOn w:val="712"/>
    <w:next w:val="712"/>
    <w:link w:val="939"/>
    <w:qFormat/>
    <w:pPr>
      <w:ind w:right="-99"/>
      <w:jc w:val="center"/>
      <w:keepNext/>
      <w:widowControl/>
      <w:outlineLvl w:val="6"/>
    </w:pPr>
    <w:rPr>
      <w:b/>
      <w:sz w:val="23"/>
    </w:rPr>
  </w:style>
  <w:style w:type="paragraph" w:styleId="720">
    <w:name w:val="Heading 8"/>
    <w:basedOn w:val="712"/>
    <w:next w:val="712"/>
    <w:link w:val="940"/>
    <w:qFormat/>
    <w:pPr>
      <w:jc w:val="both"/>
      <w:keepNext/>
      <w:widowControl/>
      <w:outlineLvl w:val="7"/>
    </w:pPr>
    <w:rPr>
      <w:b/>
      <w:bCs/>
      <w:i/>
      <w:iCs/>
      <w:sz w:val="24"/>
    </w:rPr>
  </w:style>
  <w:style w:type="paragraph" w:styleId="721">
    <w:name w:val="Heading 9"/>
    <w:basedOn w:val="712"/>
    <w:next w:val="712"/>
    <w:link w:val="941"/>
    <w:qFormat/>
    <w:pPr>
      <w:ind w:left="4536"/>
      <w:keepNext/>
      <w:spacing w:before="115"/>
      <w:shd w:val="clear" w:color="auto" w:fill="ffffff"/>
      <w:widowControl/>
      <w:outlineLvl w:val="8"/>
    </w:pPr>
    <w:rPr>
      <w:color w:val="000000"/>
      <w:spacing w:val="-2"/>
      <w:sz w:val="25"/>
    </w:rPr>
  </w:style>
  <w:style w:type="character" w:styleId="722" w:default="1">
    <w:name w:val="Default Paragraph Font"/>
    <w:uiPriority w:val="1"/>
    <w:semiHidden/>
    <w:unhideWhenUsed/>
  </w:style>
  <w:style w:type="table" w:styleId="72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4" w:default="1">
    <w:name w:val="No List"/>
    <w:uiPriority w:val="99"/>
    <w:semiHidden/>
    <w:unhideWhenUsed/>
  </w:style>
  <w:style w:type="character" w:styleId="725" w:customStyle="1">
    <w:name w:val="Quote Char"/>
    <w:uiPriority w:val="29"/>
    <w:rPr>
      <w:i/>
    </w:rPr>
  </w:style>
  <w:style w:type="character" w:styleId="726" w:customStyle="1">
    <w:name w:val="Intense Quote Char"/>
    <w:uiPriority w:val="30"/>
    <w:rPr>
      <w:i/>
    </w:rPr>
  </w:style>
  <w:style w:type="character" w:styleId="727" w:customStyle="1">
    <w:name w:val="Endnote Text Char"/>
    <w:uiPriority w:val="99"/>
    <w:rPr>
      <w:sz w:val="20"/>
    </w:rPr>
  </w:style>
  <w:style w:type="character" w:styleId="728" w:customStyle="1">
    <w:name w:val="Heading 1 Char"/>
    <w:basedOn w:val="722"/>
    <w:uiPriority w:val="9"/>
    <w:rPr>
      <w:rFonts w:ascii="Arial" w:hAnsi="Arial" w:eastAsia="Arial" w:cs="Arial"/>
      <w:sz w:val="40"/>
      <w:szCs w:val="40"/>
    </w:rPr>
  </w:style>
  <w:style w:type="character" w:styleId="729" w:customStyle="1">
    <w:name w:val="Heading 2 Char"/>
    <w:basedOn w:val="722"/>
    <w:uiPriority w:val="9"/>
    <w:rPr>
      <w:rFonts w:ascii="Arial" w:hAnsi="Arial" w:eastAsia="Arial" w:cs="Arial"/>
      <w:sz w:val="34"/>
    </w:rPr>
  </w:style>
  <w:style w:type="character" w:styleId="730" w:customStyle="1">
    <w:name w:val="Heading 3 Char"/>
    <w:basedOn w:val="722"/>
    <w:uiPriority w:val="9"/>
    <w:rPr>
      <w:rFonts w:ascii="Arial" w:hAnsi="Arial" w:eastAsia="Arial" w:cs="Arial"/>
      <w:sz w:val="30"/>
      <w:szCs w:val="30"/>
    </w:rPr>
  </w:style>
  <w:style w:type="character" w:styleId="731" w:customStyle="1">
    <w:name w:val="Heading 4 Char"/>
    <w:basedOn w:val="722"/>
    <w:uiPriority w:val="9"/>
    <w:rPr>
      <w:rFonts w:ascii="Arial" w:hAnsi="Arial" w:eastAsia="Arial" w:cs="Arial"/>
      <w:b/>
      <w:bCs/>
      <w:sz w:val="26"/>
      <w:szCs w:val="26"/>
    </w:rPr>
  </w:style>
  <w:style w:type="character" w:styleId="732" w:customStyle="1">
    <w:name w:val="Heading 5 Char"/>
    <w:basedOn w:val="722"/>
    <w:uiPriority w:val="9"/>
    <w:rPr>
      <w:rFonts w:ascii="Arial" w:hAnsi="Arial" w:eastAsia="Arial" w:cs="Arial"/>
      <w:b/>
      <w:bCs/>
      <w:sz w:val="24"/>
      <w:szCs w:val="24"/>
    </w:rPr>
  </w:style>
  <w:style w:type="character" w:styleId="733" w:customStyle="1">
    <w:name w:val="Heading 6 Char"/>
    <w:basedOn w:val="722"/>
    <w:uiPriority w:val="9"/>
    <w:rPr>
      <w:rFonts w:ascii="Arial" w:hAnsi="Arial" w:eastAsia="Arial" w:cs="Arial"/>
      <w:b/>
      <w:bCs/>
      <w:sz w:val="22"/>
      <w:szCs w:val="22"/>
    </w:rPr>
  </w:style>
  <w:style w:type="character" w:styleId="734" w:customStyle="1">
    <w:name w:val="Heading 7 Char"/>
    <w:basedOn w:val="72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8 Char"/>
    <w:basedOn w:val="722"/>
    <w:uiPriority w:val="9"/>
    <w:rPr>
      <w:rFonts w:ascii="Arial" w:hAnsi="Arial" w:eastAsia="Arial" w:cs="Arial"/>
      <w:i/>
      <w:iCs/>
      <w:sz w:val="22"/>
      <w:szCs w:val="22"/>
    </w:rPr>
  </w:style>
  <w:style w:type="character" w:styleId="736" w:customStyle="1">
    <w:name w:val="Heading 9 Char"/>
    <w:basedOn w:val="722"/>
    <w:uiPriority w:val="9"/>
    <w:rPr>
      <w:rFonts w:ascii="Arial" w:hAnsi="Arial" w:eastAsia="Arial" w:cs="Arial"/>
      <w:i/>
      <w:iCs/>
      <w:sz w:val="21"/>
      <w:szCs w:val="21"/>
    </w:rPr>
  </w:style>
  <w:style w:type="character" w:styleId="737" w:customStyle="1">
    <w:name w:val="Title Char"/>
    <w:basedOn w:val="722"/>
    <w:uiPriority w:val="10"/>
    <w:rPr>
      <w:sz w:val="48"/>
      <w:szCs w:val="48"/>
    </w:rPr>
  </w:style>
  <w:style w:type="character" w:styleId="738" w:customStyle="1">
    <w:name w:val="Subtitle Char"/>
    <w:basedOn w:val="722"/>
    <w:uiPriority w:val="11"/>
    <w:rPr>
      <w:sz w:val="24"/>
      <w:szCs w:val="24"/>
    </w:rPr>
  </w:style>
  <w:style w:type="paragraph" w:styleId="739">
    <w:name w:val="Quote"/>
    <w:basedOn w:val="712"/>
    <w:next w:val="712"/>
    <w:link w:val="740"/>
    <w:uiPriority w:val="29"/>
    <w:qFormat/>
    <w:pPr>
      <w:ind w:left="720" w:right="720"/>
    </w:pPr>
    <w:rPr>
      <w:i/>
    </w:rPr>
  </w:style>
  <w:style w:type="character" w:styleId="740" w:customStyle="1">
    <w:name w:val="Цитата 2 Знак"/>
    <w:link w:val="739"/>
    <w:uiPriority w:val="29"/>
    <w:rPr>
      <w:i/>
    </w:rPr>
  </w:style>
  <w:style w:type="paragraph" w:styleId="741">
    <w:name w:val="Intense Quote"/>
    <w:basedOn w:val="712"/>
    <w:next w:val="712"/>
    <w:link w:val="74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2" w:customStyle="1">
    <w:name w:val="Выделенная цитата Знак"/>
    <w:link w:val="741"/>
    <w:uiPriority w:val="30"/>
    <w:rPr>
      <w:i/>
    </w:rPr>
  </w:style>
  <w:style w:type="character" w:styleId="743" w:customStyle="1">
    <w:name w:val="Header Char"/>
    <w:basedOn w:val="722"/>
    <w:uiPriority w:val="99"/>
  </w:style>
  <w:style w:type="character" w:styleId="744" w:customStyle="1">
    <w:name w:val="Footer Char"/>
    <w:basedOn w:val="722"/>
    <w:uiPriority w:val="99"/>
  </w:style>
  <w:style w:type="character" w:styleId="745" w:customStyle="1">
    <w:name w:val="Caption Char"/>
    <w:uiPriority w:val="99"/>
  </w:style>
  <w:style w:type="table" w:styleId="746" w:customStyle="1">
    <w:name w:val="Table Grid Light"/>
    <w:basedOn w:val="72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7" w:customStyle="1">
    <w:name w:val="Plain Table 1"/>
    <w:basedOn w:val="72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 w:customStyle="1">
    <w:name w:val="Plain Table 2"/>
    <w:basedOn w:val="72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 w:customStyle="1">
    <w:name w:val="Plain Table 3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0" w:customStyle="1">
    <w:name w:val="Plain Table 4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Plain Table 5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1 Light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4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4" w:customStyle="1">
    <w:name w:val="Grid Table 4 - Accent 1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5" w:customStyle="1">
    <w:name w:val="Grid Table 4 - Accent 2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6" w:customStyle="1">
    <w:name w:val="Grid Table 4 - Accent 3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7" w:customStyle="1">
    <w:name w:val="Grid Table 4 - Accent 4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8" w:customStyle="1">
    <w:name w:val="Grid Table 4 - Accent 5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9" w:customStyle="1">
    <w:name w:val="Grid Table 4 - Accent 6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0" w:customStyle="1">
    <w:name w:val="Grid Table 5 Dark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6 Colorful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8" w:customStyle="1">
    <w:name w:val="Grid Table 6 Colorful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9" w:customStyle="1">
    <w:name w:val="Grid Table 6 Colorful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0" w:customStyle="1">
    <w:name w:val="Grid Table 6 Colorful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1" w:customStyle="1">
    <w:name w:val="Grid Table 6 Colorful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2" w:customStyle="1">
    <w:name w:val="Grid Table 6 Colorful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3" w:customStyle="1">
    <w:name w:val="Grid Table 6 Colorful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4" w:customStyle="1">
    <w:name w:val="Grid Table 7 Colorful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7 Colorful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7 Colorful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1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2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3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4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5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6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5" w:customStyle="1">
    <w:name w:val="List Table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5 Dark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6 Colorful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7" w:customStyle="1">
    <w:name w:val="List Table 6 Colorful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8" w:customStyle="1">
    <w:name w:val="List Table 6 Colorful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9" w:customStyle="1">
    <w:name w:val="List Table 6 Colorful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0" w:customStyle="1">
    <w:name w:val="List Table 6 Colorful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1" w:customStyle="1">
    <w:name w:val="List Table 6 Colorful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2" w:customStyle="1">
    <w:name w:val="List Table 6 Colorful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3" w:customStyle="1">
    <w:name w:val="List Table 7 Colorful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7 Colorful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7 Colorful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ned - Accent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1" w:customStyle="1">
    <w:name w:val="Lined - Accent 1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2" w:customStyle="1">
    <w:name w:val="Lined - Accent 2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3" w:customStyle="1">
    <w:name w:val="Lined - Accent 3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4" w:customStyle="1">
    <w:name w:val="Lined - Accent 4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5" w:customStyle="1">
    <w:name w:val="Lined - Accent 5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6" w:customStyle="1">
    <w:name w:val="Lined - Accent 6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7" w:customStyle="1">
    <w:name w:val="Bordered &amp; Lined - Accent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8" w:customStyle="1">
    <w:name w:val="Bordered &amp; Lined - Accent 1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9" w:customStyle="1">
    <w:name w:val="Bordered &amp; Lined - Accent 2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0" w:customStyle="1">
    <w:name w:val="Bordered &amp; Lined - Accent 3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1" w:customStyle="1">
    <w:name w:val="Bordered &amp; Lined - Accent 4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2" w:customStyle="1">
    <w:name w:val="Bordered &amp; Lined - Accent 5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3" w:customStyle="1">
    <w:name w:val="Bordered &amp; Lined - Accent 6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4" w:customStyle="1">
    <w:name w:val="Bordered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5" w:customStyle="1">
    <w:name w:val="Bordered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6" w:customStyle="1">
    <w:name w:val="Bordered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7" w:customStyle="1">
    <w:name w:val="Bordered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8" w:customStyle="1">
    <w:name w:val="Bordered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9" w:customStyle="1">
    <w:name w:val="Bordered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0" w:customStyle="1">
    <w:name w:val="Bordered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1" w:customStyle="1">
    <w:name w:val="Footnote Text Char"/>
    <w:uiPriority w:val="99"/>
    <w:rPr>
      <w:sz w:val="18"/>
    </w:rPr>
  </w:style>
  <w:style w:type="paragraph" w:styleId="872">
    <w:name w:val="endnote text"/>
    <w:basedOn w:val="712"/>
    <w:link w:val="873"/>
    <w:uiPriority w:val="99"/>
    <w:semiHidden/>
    <w:unhideWhenUsed/>
  </w:style>
  <w:style w:type="character" w:styleId="873" w:customStyle="1">
    <w:name w:val="Текст концевой сноски Знак"/>
    <w:link w:val="872"/>
    <w:uiPriority w:val="99"/>
    <w:rPr>
      <w:sz w:val="20"/>
    </w:rPr>
  </w:style>
  <w:style w:type="character" w:styleId="874">
    <w:name w:val="endnote reference"/>
    <w:basedOn w:val="722"/>
    <w:uiPriority w:val="99"/>
    <w:semiHidden/>
    <w:unhideWhenUsed/>
    <w:rPr>
      <w:vertAlign w:val="superscript"/>
    </w:rPr>
  </w:style>
  <w:style w:type="paragraph" w:styleId="875">
    <w:name w:val="TOC Heading"/>
    <w:uiPriority w:val="39"/>
    <w:unhideWhenUsed/>
  </w:style>
  <w:style w:type="paragraph" w:styleId="876">
    <w:name w:val="table of figures"/>
    <w:basedOn w:val="712"/>
    <w:next w:val="712"/>
    <w:uiPriority w:val="99"/>
    <w:unhideWhenUsed/>
  </w:style>
  <w:style w:type="paragraph" w:styleId="877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78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79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880">
    <w:name w:val="Balloon Text"/>
    <w:basedOn w:val="712"/>
    <w:link w:val="881"/>
    <w:uiPriority w:val="99"/>
    <w:unhideWhenUsed/>
    <w:rPr>
      <w:rFonts w:ascii="Tahoma" w:hAnsi="Tahoma" w:cs="Tahoma"/>
      <w:sz w:val="16"/>
      <w:szCs w:val="16"/>
    </w:rPr>
  </w:style>
  <w:style w:type="character" w:styleId="881" w:customStyle="1">
    <w:name w:val="Текст выноски Знак"/>
    <w:basedOn w:val="722"/>
    <w:link w:val="880"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styleId="882">
    <w:name w:val="Header"/>
    <w:basedOn w:val="712"/>
    <w:link w:val="883"/>
    <w:uiPriority w:val="99"/>
    <w:pPr>
      <w:ind w:firstLine="1"/>
      <w:jc w:val="center"/>
      <w:widowControl/>
      <w:tabs>
        <w:tab w:val="center" w:pos="4153" w:leader="none"/>
        <w:tab w:val="right" w:pos="8306" w:leader="none"/>
      </w:tabs>
    </w:pPr>
    <w:rPr>
      <w:b/>
      <w:sz w:val="26"/>
      <w:szCs w:val="26"/>
    </w:rPr>
  </w:style>
  <w:style w:type="character" w:styleId="883" w:customStyle="1">
    <w:name w:val="Верхний колонтитул Знак"/>
    <w:basedOn w:val="722"/>
    <w:link w:val="882"/>
    <w:uiPriority w:val="99"/>
    <w:rPr>
      <w:rFonts w:ascii="Times New Roman" w:hAnsi="Times New Roman" w:eastAsia="Times New Roman" w:cs="Times New Roman"/>
      <w:b/>
      <w:sz w:val="26"/>
      <w:szCs w:val="26"/>
      <w:lang w:eastAsia="ru-RU"/>
    </w:rPr>
  </w:style>
  <w:style w:type="paragraph" w:styleId="884">
    <w:name w:val="Body Text Indent"/>
    <w:basedOn w:val="712"/>
    <w:link w:val="885"/>
    <w:pPr>
      <w:jc w:val="center"/>
      <w:widowControl/>
    </w:pPr>
    <w:rPr>
      <w:sz w:val="28"/>
    </w:rPr>
  </w:style>
  <w:style w:type="character" w:styleId="885" w:customStyle="1">
    <w:name w:val="Основной текст с отступом Знак"/>
    <w:basedOn w:val="722"/>
    <w:link w:val="884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86">
    <w:name w:val="List Paragraph"/>
    <w:basedOn w:val="712"/>
    <w:uiPriority w:val="34"/>
    <w:qFormat/>
    <w:pPr>
      <w:contextualSpacing/>
      <w:ind w:left="720"/>
    </w:pPr>
  </w:style>
  <w:style w:type="character" w:styleId="887">
    <w:name w:val="Hyperlink"/>
    <w:basedOn w:val="722"/>
    <w:uiPriority w:val="99"/>
    <w:unhideWhenUsed/>
    <w:rPr>
      <w:color w:val="0000ff" w:themeColor="hyperlink"/>
      <w:u w:val="single"/>
    </w:rPr>
  </w:style>
  <w:style w:type="table" w:styleId="888">
    <w:name w:val="Table Grid"/>
    <w:basedOn w:val="723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9">
    <w:name w:val="Footer"/>
    <w:basedOn w:val="712"/>
    <w:link w:val="89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0" w:customStyle="1">
    <w:name w:val="Нижний колонтитул Знак"/>
    <w:basedOn w:val="722"/>
    <w:link w:val="889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1">
    <w:name w:val="Normal (Web)"/>
    <w:basedOn w:val="712"/>
    <w:uiPriority w:val="99"/>
    <w:unhideWhenUsed/>
    <w:pPr>
      <w:spacing w:before="100" w:beforeAutospacing="1" w:after="100" w:afterAutospacing="1"/>
      <w:widowControl/>
    </w:pPr>
    <w:rPr>
      <w:sz w:val="24"/>
      <w:szCs w:val="24"/>
    </w:rPr>
  </w:style>
  <w:style w:type="paragraph" w:styleId="892">
    <w:name w:val="footnote text"/>
    <w:basedOn w:val="712"/>
    <w:link w:val="893"/>
    <w:unhideWhenUsed/>
  </w:style>
  <w:style w:type="character" w:styleId="893" w:customStyle="1">
    <w:name w:val="Текст сноски Знак"/>
    <w:basedOn w:val="722"/>
    <w:link w:val="892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4">
    <w:name w:val="footnote reference"/>
    <w:basedOn w:val="722"/>
    <w:uiPriority w:val="99"/>
    <w:semiHidden/>
    <w:unhideWhenUsed/>
    <w:rPr>
      <w:vertAlign w:val="superscript"/>
    </w:rPr>
  </w:style>
  <w:style w:type="paragraph" w:styleId="895">
    <w:name w:val="No Spacing"/>
    <w:uiPriority w:val="1"/>
    <w:qFormat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6" w:customStyle="1">
    <w:name w:val="Заголовок 1 Знак"/>
    <w:basedOn w:val="722"/>
    <w:link w:val="713"/>
    <w:rPr>
      <w:rFonts w:ascii="XO Thames" w:hAnsi="XO Thames" w:eastAsia="Times New Roman" w:cs="Times New Roman"/>
      <w:b/>
      <w:color w:val="000000"/>
      <w:sz w:val="32"/>
      <w:szCs w:val="20"/>
      <w:lang w:eastAsia="ru-RU"/>
    </w:rPr>
  </w:style>
  <w:style w:type="character" w:styleId="897" w:customStyle="1">
    <w:name w:val="Заголовок 2 Знак"/>
    <w:basedOn w:val="722"/>
    <w:link w:val="714"/>
    <w:rPr>
      <w:rFonts w:ascii="XO Thames" w:hAnsi="XO Thames" w:eastAsia="Times New Roman" w:cs="Times New Roman"/>
      <w:b/>
      <w:color w:val="00a0ff"/>
      <w:sz w:val="26"/>
      <w:szCs w:val="20"/>
      <w:lang w:eastAsia="ru-RU"/>
    </w:rPr>
  </w:style>
  <w:style w:type="character" w:styleId="898" w:customStyle="1">
    <w:name w:val="Заголовок 3 Знак"/>
    <w:basedOn w:val="722"/>
    <w:link w:val="715"/>
    <w:rPr>
      <w:rFonts w:ascii="XO Thames" w:hAnsi="XO Thames" w:eastAsia="Times New Roman" w:cs="Times New Roman"/>
      <w:b/>
      <w:i/>
      <w:color w:val="000000"/>
      <w:sz w:val="20"/>
      <w:szCs w:val="20"/>
      <w:lang w:eastAsia="ru-RU"/>
    </w:rPr>
  </w:style>
  <w:style w:type="character" w:styleId="899" w:customStyle="1">
    <w:name w:val="Заголовок 4 Знак"/>
    <w:basedOn w:val="722"/>
    <w:link w:val="716"/>
    <w:rPr>
      <w:rFonts w:ascii="XO Thames" w:hAnsi="XO Thames" w:eastAsia="Times New Roman" w:cs="Times New Roman"/>
      <w:b/>
      <w:color w:val="595959"/>
      <w:sz w:val="26"/>
      <w:szCs w:val="20"/>
      <w:lang w:eastAsia="ru-RU"/>
    </w:rPr>
  </w:style>
  <w:style w:type="character" w:styleId="900" w:customStyle="1">
    <w:name w:val="Заголовок 5 Знак"/>
    <w:basedOn w:val="722"/>
    <w:link w:val="717"/>
    <w:rPr>
      <w:rFonts w:ascii="XO Thames" w:hAnsi="XO Thames" w:eastAsia="Times New Roman" w:cs="Times New Roman"/>
      <w:b/>
      <w:color w:val="000000"/>
      <w:szCs w:val="20"/>
      <w:lang w:eastAsia="ru-RU"/>
    </w:rPr>
  </w:style>
  <w:style w:type="numbering" w:styleId="901" w:customStyle="1">
    <w:name w:val="Нет списка1"/>
    <w:next w:val="724"/>
    <w:uiPriority w:val="99"/>
    <w:semiHidden/>
    <w:unhideWhenUsed/>
  </w:style>
  <w:style w:type="character" w:styleId="902" w:customStyle="1">
    <w:name w:val="Знак Знак21"/>
    <w:rPr>
      <w:color w:val="000000"/>
      <w:sz w:val="20"/>
    </w:rPr>
  </w:style>
  <w:style w:type="paragraph" w:styleId="903" w:customStyle="1">
    <w:name w:val="toc 10"/>
    <w:pPr>
      <w:ind w:left="1800"/>
      <w:spacing w:after="0" w:line="240" w:lineRule="auto"/>
    </w:pPr>
    <w:rPr>
      <w:rFonts w:ascii="Times New Roman" w:hAnsi="Times New Roman" w:eastAsia="Times New Roman" w:cs="Times New Roman"/>
      <w:color w:val="000000"/>
      <w:szCs w:val="20"/>
      <w:lang w:eastAsia="ru-RU"/>
    </w:rPr>
  </w:style>
  <w:style w:type="paragraph" w:styleId="904">
    <w:name w:val="toc 2"/>
    <w:basedOn w:val="712"/>
    <w:link w:val="905"/>
    <w:uiPriority w:val="39"/>
    <w:pPr>
      <w:ind w:left="200"/>
      <w:widowControl/>
    </w:pPr>
    <w:rPr>
      <w:color w:val="000000"/>
    </w:rPr>
  </w:style>
  <w:style w:type="character" w:styleId="905" w:customStyle="1">
    <w:name w:val="Оглавление 2 Знак"/>
    <w:basedOn w:val="902"/>
    <w:link w:val="904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06">
    <w:name w:val="toc 4"/>
    <w:basedOn w:val="712"/>
    <w:link w:val="907"/>
    <w:uiPriority w:val="39"/>
    <w:pPr>
      <w:ind w:left="600"/>
      <w:widowControl/>
    </w:pPr>
    <w:rPr>
      <w:color w:val="000000"/>
    </w:rPr>
  </w:style>
  <w:style w:type="character" w:styleId="907" w:customStyle="1">
    <w:name w:val="Оглавление 4 Знак"/>
    <w:basedOn w:val="902"/>
    <w:link w:val="906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08">
    <w:name w:val="toc 6"/>
    <w:basedOn w:val="712"/>
    <w:link w:val="909"/>
    <w:uiPriority w:val="39"/>
    <w:pPr>
      <w:ind w:left="1000"/>
      <w:widowControl/>
    </w:pPr>
    <w:rPr>
      <w:color w:val="000000"/>
    </w:rPr>
  </w:style>
  <w:style w:type="character" w:styleId="909" w:customStyle="1">
    <w:name w:val="Оглавление 6 Знак"/>
    <w:basedOn w:val="902"/>
    <w:link w:val="908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10">
    <w:name w:val="toc 7"/>
    <w:basedOn w:val="712"/>
    <w:link w:val="911"/>
    <w:uiPriority w:val="39"/>
    <w:pPr>
      <w:ind w:left="1200"/>
      <w:widowControl/>
    </w:pPr>
    <w:rPr>
      <w:color w:val="000000"/>
    </w:rPr>
  </w:style>
  <w:style w:type="character" w:styleId="911" w:customStyle="1">
    <w:name w:val="Оглавление 7 Знак"/>
    <w:basedOn w:val="902"/>
    <w:link w:val="910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12" w:customStyle="1">
    <w:name w:val="Основной шрифт абзаца1"/>
    <w:pPr>
      <w:spacing w:after="0" w:line="240" w:lineRule="auto"/>
    </w:pPr>
    <w:rPr>
      <w:rFonts w:ascii="Times New Roman" w:hAnsi="Times New Roman" w:eastAsia="Times New Roman" w:cs="Times New Roman"/>
      <w:color w:val="000000"/>
      <w:szCs w:val="20"/>
      <w:lang w:eastAsia="ru-RU"/>
    </w:rPr>
  </w:style>
  <w:style w:type="paragraph" w:styleId="913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Times New Roman"/>
      <w:color w:val="000000"/>
      <w:szCs w:val="20"/>
      <w:lang w:eastAsia="ru-RU"/>
    </w:rPr>
  </w:style>
  <w:style w:type="paragraph" w:styleId="914" w:customStyle="1">
    <w:name w:val="Обычный1"/>
    <w:pPr>
      <w:spacing w:after="0" w:line="240" w:lineRule="auto"/>
    </w:pPr>
    <w:rPr>
      <w:rFonts w:ascii="Times New Roman" w:hAnsi="Times New Roman" w:eastAsia="Times New Roman" w:cs="Times New Roman"/>
      <w:color w:val="000000"/>
      <w:szCs w:val="20"/>
      <w:lang w:eastAsia="ru-RU"/>
    </w:rPr>
  </w:style>
  <w:style w:type="paragraph" w:styleId="915" w:customStyle="1">
    <w:name w:val="Char Char"/>
    <w:basedOn w:val="712"/>
    <w:pPr>
      <w:spacing w:after="160" w:line="240" w:lineRule="exact"/>
      <w:widowControl/>
    </w:pPr>
    <w:rPr>
      <w:rFonts w:ascii="Verdana" w:hAnsi="Verdana"/>
      <w:color w:val="000000"/>
    </w:rPr>
  </w:style>
  <w:style w:type="paragraph" w:styleId="916">
    <w:name w:val="toc 3"/>
    <w:basedOn w:val="712"/>
    <w:link w:val="917"/>
    <w:uiPriority w:val="39"/>
    <w:pPr>
      <w:ind w:left="400"/>
      <w:widowControl/>
    </w:pPr>
    <w:rPr>
      <w:color w:val="000000"/>
    </w:rPr>
  </w:style>
  <w:style w:type="character" w:styleId="917" w:customStyle="1">
    <w:name w:val="Оглавление 3 Знак"/>
    <w:basedOn w:val="902"/>
    <w:link w:val="916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918">
    <w:name w:val="FollowedHyperlink"/>
    <w:uiPriority w:val="99"/>
    <w:rPr>
      <w:color w:val="800080"/>
      <w:u w:val="single"/>
    </w:rPr>
  </w:style>
  <w:style w:type="paragraph" w:styleId="919">
    <w:name w:val="Caption"/>
    <w:basedOn w:val="712"/>
    <w:next w:val="712"/>
    <w:link w:val="920"/>
    <w:qFormat/>
    <w:pPr>
      <w:jc w:val="center"/>
      <w:spacing w:before="120"/>
      <w:widowControl/>
    </w:pPr>
    <w:rPr>
      <w:color w:val="000000"/>
      <w:sz w:val="36"/>
    </w:rPr>
  </w:style>
  <w:style w:type="character" w:styleId="920" w:customStyle="1">
    <w:name w:val="Название объекта Знак"/>
    <w:link w:val="919"/>
    <w:rPr>
      <w:rFonts w:ascii="Times New Roman" w:hAnsi="Times New Roman" w:eastAsia="Times New Roman" w:cs="Times New Roman"/>
      <w:color w:val="000000"/>
      <w:sz w:val="36"/>
      <w:szCs w:val="20"/>
      <w:lang w:eastAsia="ru-RU"/>
    </w:rPr>
  </w:style>
  <w:style w:type="paragraph" w:styleId="921" w:customStyle="1">
    <w:name w:val="Footnote"/>
    <w:pPr>
      <w:spacing w:after="0" w:line="240" w:lineRule="auto"/>
    </w:pPr>
    <w:rPr>
      <w:rFonts w:ascii="XO Thames" w:hAnsi="XO Thames" w:eastAsia="Times New Roman" w:cs="Times New Roman"/>
      <w:color w:val="757575"/>
      <w:szCs w:val="20"/>
      <w:lang w:eastAsia="ru-RU"/>
    </w:rPr>
  </w:style>
  <w:style w:type="paragraph" w:styleId="922">
    <w:name w:val="toc 1"/>
    <w:basedOn w:val="712"/>
    <w:link w:val="923"/>
    <w:uiPriority w:val="39"/>
    <w:pPr>
      <w:widowControl/>
    </w:pPr>
    <w:rPr>
      <w:rFonts w:ascii="XO Thames" w:hAnsi="XO Thames"/>
      <w:b/>
      <w:color w:val="000000"/>
    </w:rPr>
  </w:style>
  <w:style w:type="character" w:styleId="923" w:customStyle="1">
    <w:name w:val="Оглавление 1 Знак"/>
    <w:link w:val="922"/>
    <w:uiPriority w:val="39"/>
    <w:rPr>
      <w:rFonts w:ascii="XO Thames" w:hAnsi="XO Thames" w:eastAsia="Times New Roman" w:cs="Times New Roman"/>
      <w:b/>
      <w:color w:val="000000"/>
      <w:sz w:val="20"/>
      <w:szCs w:val="20"/>
      <w:lang w:eastAsia="ru-RU"/>
    </w:rPr>
  </w:style>
  <w:style w:type="paragraph" w:styleId="924" w:customStyle="1">
    <w:name w:val="Header and Footer"/>
    <w:pPr>
      <w:spacing w:after="0" w:line="360" w:lineRule="auto"/>
    </w:pPr>
    <w:rPr>
      <w:rFonts w:ascii="XO Thames" w:hAnsi="XO Thames" w:eastAsia="Times New Roman" w:cs="Times New Roman"/>
      <w:color w:val="000000"/>
      <w:szCs w:val="20"/>
      <w:lang w:eastAsia="ru-RU"/>
    </w:rPr>
  </w:style>
  <w:style w:type="paragraph" w:styleId="925">
    <w:name w:val="toc 9"/>
    <w:basedOn w:val="712"/>
    <w:link w:val="926"/>
    <w:uiPriority w:val="39"/>
    <w:pPr>
      <w:ind w:left="1600"/>
      <w:widowControl/>
    </w:pPr>
    <w:rPr>
      <w:color w:val="000000"/>
    </w:rPr>
  </w:style>
  <w:style w:type="character" w:styleId="926" w:customStyle="1">
    <w:name w:val="Оглавление 9 Знак"/>
    <w:basedOn w:val="902"/>
    <w:link w:val="925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27">
    <w:name w:val="toc 8"/>
    <w:basedOn w:val="712"/>
    <w:link w:val="928"/>
    <w:uiPriority w:val="39"/>
    <w:pPr>
      <w:ind w:left="1400"/>
      <w:widowControl/>
    </w:pPr>
    <w:rPr>
      <w:color w:val="000000"/>
    </w:rPr>
  </w:style>
  <w:style w:type="character" w:styleId="928" w:customStyle="1">
    <w:name w:val="Оглавление 8 Знак"/>
    <w:basedOn w:val="902"/>
    <w:link w:val="927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29">
    <w:name w:val="toc 5"/>
    <w:basedOn w:val="712"/>
    <w:link w:val="930"/>
    <w:uiPriority w:val="39"/>
    <w:pPr>
      <w:ind w:left="800"/>
      <w:widowControl/>
    </w:pPr>
    <w:rPr>
      <w:color w:val="000000"/>
    </w:rPr>
  </w:style>
  <w:style w:type="character" w:styleId="930" w:customStyle="1">
    <w:name w:val="Оглавление 5 Знак"/>
    <w:basedOn w:val="902"/>
    <w:link w:val="929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31" w:customStyle="1">
    <w:name w:val="Гиперссылка1"/>
    <w:pPr>
      <w:spacing w:after="0" w:line="240" w:lineRule="auto"/>
    </w:pPr>
    <w:rPr>
      <w:rFonts w:ascii="Times New Roman" w:hAnsi="Times New Roman" w:eastAsia="Times New Roman" w:cs="Times New Roman"/>
      <w:color w:val="0000ff"/>
      <w:szCs w:val="20"/>
      <w:u w:val="single"/>
      <w:lang w:eastAsia="ru-RU"/>
    </w:rPr>
  </w:style>
  <w:style w:type="paragraph" w:styleId="932" w:customStyle="1">
    <w:name w:val="Номер страницы1"/>
    <w:basedOn w:val="915"/>
  </w:style>
  <w:style w:type="paragraph" w:styleId="933">
    <w:name w:val="Subtitle"/>
    <w:basedOn w:val="712"/>
    <w:link w:val="934"/>
    <w:uiPriority w:val="11"/>
    <w:qFormat/>
    <w:pPr>
      <w:widowControl/>
    </w:pPr>
    <w:rPr>
      <w:rFonts w:ascii="XO Thames" w:hAnsi="XO Thames"/>
      <w:i/>
      <w:color w:val="616161"/>
      <w:sz w:val="24"/>
    </w:rPr>
  </w:style>
  <w:style w:type="character" w:styleId="934" w:customStyle="1">
    <w:name w:val="Подзаголовок Знак"/>
    <w:basedOn w:val="722"/>
    <w:link w:val="933"/>
    <w:uiPriority w:val="11"/>
    <w:rPr>
      <w:rFonts w:ascii="XO Thames" w:hAnsi="XO Thames" w:eastAsia="Times New Roman" w:cs="Times New Roman"/>
      <w:i/>
      <w:color w:val="616161"/>
      <w:sz w:val="24"/>
      <w:szCs w:val="20"/>
      <w:lang w:eastAsia="ru-RU"/>
    </w:rPr>
  </w:style>
  <w:style w:type="paragraph" w:styleId="935">
    <w:name w:val="Title"/>
    <w:basedOn w:val="712"/>
    <w:link w:val="936"/>
    <w:qFormat/>
    <w:pPr>
      <w:widowControl/>
    </w:pPr>
    <w:rPr>
      <w:rFonts w:ascii="XO Thames" w:hAnsi="XO Thames"/>
      <w:b/>
      <w:color w:val="000000"/>
      <w:sz w:val="52"/>
    </w:rPr>
  </w:style>
  <w:style w:type="character" w:styleId="936" w:customStyle="1">
    <w:name w:val="Название Знак"/>
    <w:basedOn w:val="722"/>
    <w:link w:val="935"/>
    <w:rPr>
      <w:rFonts w:ascii="XO Thames" w:hAnsi="XO Thames" w:eastAsia="Times New Roman" w:cs="Times New Roman"/>
      <w:b/>
      <w:color w:val="000000"/>
      <w:sz w:val="52"/>
      <w:szCs w:val="20"/>
      <w:lang w:eastAsia="ru-RU"/>
    </w:rPr>
  </w:style>
  <w:style w:type="table" w:styleId="937" w:customStyle="1">
    <w:name w:val="Сетка таблицы1"/>
    <w:basedOn w:val="723"/>
    <w:next w:val="888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38" w:customStyle="1">
    <w:name w:val="Заголовок 6 Знак"/>
    <w:basedOn w:val="722"/>
    <w:link w:val="718"/>
    <w:rPr>
      <w:rFonts w:ascii="Times New Roman" w:hAnsi="Times New Roman" w:eastAsia="Times New Roman" w:cs="Times New Roman"/>
      <w:i/>
      <w:sz w:val="28"/>
      <w:szCs w:val="20"/>
      <w:lang w:eastAsia="ru-RU"/>
    </w:rPr>
  </w:style>
  <w:style w:type="character" w:styleId="939" w:customStyle="1">
    <w:name w:val="Заголовок 7 Знак"/>
    <w:basedOn w:val="722"/>
    <w:link w:val="719"/>
    <w:rPr>
      <w:rFonts w:ascii="Times New Roman" w:hAnsi="Times New Roman" w:eastAsia="Times New Roman" w:cs="Times New Roman"/>
      <w:b/>
      <w:sz w:val="23"/>
      <w:szCs w:val="20"/>
      <w:lang w:eastAsia="ru-RU"/>
    </w:rPr>
  </w:style>
  <w:style w:type="character" w:styleId="940" w:customStyle="1">
    <w:name w:val="Заголовок 8 Знак"/>
    <w:basedOn w:val="722"/>
    <w:link w:val="720"/>
    <w:rPr>
      <w:rFonts w:ascii="Times New Roman" w:hAnsi="Times New Roman" w:eastAsia="Times New Roman" w:cs="Times New Roman"/>
      <w:b/>
      <w:bCs/>
      <w:i/>
      <w:iCs/>
      <w:sz w:val="24"/>
      <w:szCs w:val="20"/>
      <w:lang w:eastAsia="ru-RU"/>
    </w:rPr>
  </w:style>
  <w:style w:type="character" w:styleId="941" w:customStyle="1">
    <w:name w:val="Заголовок 9 Знак"/>
    <w:basedOn w:val="722"/>
    <w:link w:val="721"/>
    <w:rPr>
      <w:rFonts w:ascii="Times New Roman" w:hAnsi="Times New Roman" w:eastAsia="Times New Roman" w:cs="Times New Roman"/>
      <w:color w:val="000000"/>
      <w:spacing w:val="-2"/>
      <w:sz w:val="25"/>
      <w:szCs w:val="20"/>
      <w:shd w:val="clear" w:color="auto" w:fill="ffffff"/>
      <w:lang w:eastAsia="ru-RU"/>
    </w:rPr>
  </w:style>
  <w:style w:type="numbering" w:styleId="942" w:customStyle="1">
    <w:name w:val="Нет списка2"/>
    <w:next w:val="724"/>
    <w:uiPriority w:val="99"/>
    <w:semiHidden/>
    <w:unhideWhenUsed/>
  </w:style>
  <w:style w:type="paragraph" w:styleId="943">
    <w:name w:val="Body Text"/>
    <w:basedOn w:val="712"/>
    <w:next w:val="712"/>
    <w:link w:val="944"/>
    <w:pPr>
      <w:jc w:val="both"/>
      <w:widowControl/>
    </w:pPr>
    <w:rPr>
      <w:sz w:val="22"/>
    </w:rPr>
  </w:style>
  <w:style w:type="character" w:styleId="944" w:customStyle="1">
    <w:name w:val="Основной текст Знак"/>
    <w:basedOn w:val="722"/>
    <w:link w:val="943"/>
    <w:rPr>
      <w:rFonts w:ascii="Times New Roman" w:hAnsi="Times New Roman" w:eastAsia="Times New Roman" w:cs="Times New Roman"/>
      <w:szCs w:val="20"/>
      <w:lang w:eastAsia="ru-RU"/>
    </w:rPr>
  </w:style>
  <w:style w:type="character" w:styleId="945">
    <w:name w:val="page number"/>
    <w:basedOn w:val="722"/>
  </w:style>
  <w:style w:type="paragraph" w:styleId="946">
    <w:name w:val="Body Text 2"/>
    <w:basedOn w:val="712"/>
    <w:link w:val="947"/>
    <w:pPr>
      <w:ind w:right="5102"/>
      <w:jc w:val="center"/>
      <w:spacing w:before="120"/>
      <w:widowControl/>
    </w:pPr>
    <w:rPr>
      <w:sz w:val="26"/>
    </w:rPr>
  </w:style>
  <w:style w:type="character" w:styleId="947" w:customStyle="1">
    <w:name w:val="Основной текст 2 Знак"/>
    <w:basedOn w:val="722"/>
    <w:link w:val="946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48" w:customStyle="1">
    <w:name w:val="Обращение"/>
    <w:basedOn w:val="712"/>
    <w:next w:val="712"/>
    <w:pPr>
      <w:jc w:val="center"/>
      <w:spacing w:before="240" w:after="120"/>
      <w:widowControl/>
    </w:pPr>
    <w:rPr>
      <w:b/>
      <w:sz w:val="26"/>
    </w:rPr>
  </w:style>
  <w:style w:type="paragraph" w:styleId="949" w:customStyle="1">
    <w:name w:val="Адресные реквизиты"/>
    <w:basedOn w:val="943"/>
    <w:next w:val="943"/>
    <w:pPr>
      <w:jc w:val="left"/>
    </w:pPr>
    <w:rPr>
      <w:sz w:val="16"/>
    </w:rPr>
  </w:style>
  <w:style w:type="paragraph" w:styleId="950" w:customStyle="1">
    <w:name w:val="Адресат"/>
    <w:basedOn w:val="712"/>
    <w:pPr>
      <w:spacing w:before="120"/>
      <w:widowControl/>
    </w:pPr>
    <w:rPr>
      <w:b/>
      <w:sz w:val="26"/>
    </w:rPr>
  </w:style>
  <w:style w:type="paragraph" w:styleId="951">
    <w:name w:val="Body Text 3"/>
    <w:basedOn w:val="712"/>
    <w:link w:val="952"/>
    <w:pPr>
      <w:spacing w:before="120"/>
      <w:widowControl/>
      <w:tabs>
        <w:tab w:val="left" w:pos="7371" w:leader="none"/>
      </w:tabs>
    </w:pPr>
    <w:rPr>
      <w:sz w:val="28"/>
    </w:rPr>
  </w:style>
  <w:style w:type="character" w:styleId="952" w:customStyle="1">
    <w:name w:val="Основной текст 3 Знак"/>
    <w:basedOn w:val="722"/>
    <w:link w:val="951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53">
    <w:name w:val="Body Text Indent 2"/>
    <w:basedOn w:val="712"/>
    <w:link w:val="954"/>
    <w:pPr>
      <w:ind w:firstLine="709"/>
      <w:jc w:val="both"/>
      <w:widowControl/>
    </w:pPr>
    <w:rPr>
      <w:sz w:val="24"/>
      <w:szCs w:val="24"/>
    </w:rPr>
  </w:style>
  <w:style w:type="character" w:styleId="954" w:customStyle="1">
    <w:name w:val="Основной текст с отступом 2 Знак"/>
    <w:basedOn w:val="722"/>
    <w:link w:val="953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5" w:customStyle="1">
    <w:name w:val="Обычный (Web)"/>
    <w:basedOn w:val="712"/>
    <w:pPr>
      <w:ind w:firstLine="400"/>
      <w:spacing w:before="100" w:beforeAutospacing="1" w:after="100" w:afterAutospacing="1"/>
      <w:widowControl/>
    </w:pPr>
    <w:rPr>
      <w:rFonts w:ascii="Tahoma" w:hAnsi="Tahoma" w:cs="Tahoma"/>
      <w:color w:val="333333"/>
      <w:sz w:val="12"/>
      <w:szCs w:val="12"/>
    </w:rPr>
  </w:style>
  <w:style w:type="paragraph" w:styleId="956">
    <w:name w:val="Body Text Indent 3"/>
    <w:basedOn w:val="712"/>
    <w:link w:val="957"/>
    <w:pPr>
      <w:ind w:left="360"/>
      <w:jc w:val="both"/>
      <w:spacing w:before="100" w:beforeAutospacing="1" w:after="100" w:afterAutospacing="1"/>
      <w:widowControl/>
    </w:pPr>
    <w:rPr>
      <w:color w:val="333333"/>
      <w:sz w:val="25"/>
      <w:szCs w:val="12"/>
    </w:rPr>
  </w:style>
  <w:style w:type="character" w:styleId="957" w:customStyle="1">
    <w:name w:val="Основной текст с отступом 3 Знак"/>
    <w:basedOn w:val="722"/>
    <w:link w:val="956"/>
    <w:rPr>
      <w:rFonts w:ascii="Times New Roman" w:hAnsi="Times New Roman" w:eastAsia="Times New Roman" w:cs="Times New Roman"/>
      <w:color w:val="333333"/>
      <w:sz w:val="25"/>
      <w:szCs w:val="12"/>
      <w:lang w:eastAsia="ru-RU"/>
    </w:rPr>
  </w:style>
  <w:style w:type="paragraph" w:styleId="958" w:customStyle="1">
    <w:name w:val="Должность"/>
    <w:basedOn w:val="712"/>
    <w:next w:val="712"/>
    <w:pPr>
      <w:widowControl/>
    </w:pPr>
    <w:rPr>
      <w:i/>
      <w:color w:val="000000"/>
      <w:sz w:val="24"/>
    </w:rPr>
  </w:style>
  <w:style w:type="character" w:styleId="959">
    <w:name w:val="Strong"/>
    <w:basedOn w:val="722"/>
    <w:qFormat/>
    <w:rPr>
      <w:b/>
      <w:bCs/>
    </w:rPr>
  </w:style>
  <w:style w:type="paragraph" w:styleId="960" w:customStyle="1">
    <w:name w:val="H4"/>
    <w:basedOn w:val="712"/>
    <w:next w:val="712"/>
    <w:pPr>
      <w:keepNext/>
      <w:spacing w:before="100" w:after="100"/>
      <w:widowControl/>
      <w:outlineLvl w:val="4"/>
    </w:pPr>
    <w:rPr>
      <w:b/>
      <w:sz w:val="24"/>
    </w:rPr>
  </w:style>
  <w:style w:type="paragraph" w:styleId="961" w:customStyle="1">
    <w:name w:val="Definition List"/>
    <w:basedOn w:val="712"/>
    <w:next w:val="712"/>
    <w:pPr>
      <w:ind w:left="360"/>
      <w:widowControl/>
    </w:pPr>
    <w:rPr>
      <w:sz w:val="24"/>
    </w:rPr>
  </w:style>
  <w:style w:type="paragraph" w:styleId="962" w:customStyle="1">
    <w:name w:val="Заголовок текста док"/>
    <w:basedOn w:val="712"/>
    <w:pPr>
      <w:ind w:left="-107"/>
      <w:widowControl/>
    </w:pPr>
    <w:rPr>
      <w:sz w:val="22"/>
    </w:rPr>
  </w:style>
  <w:style w:type="paragraph" w:styleId="963" w:customStyle="1">
    <w:name w:val="Дата документа"/>
    <w:basedOn w:val="712"/>
    <w:pPr>
      <w:spacing w:line="360" w:lineRule="auto"/>
      <w:widowControl/>
    </w:pPr>
    <w:rPr>
      <w:sz w:val="24"/>
      <w:u w:val="single"/>
    </w:rPr>
  </w:style>
  <w:style w:type="paragraph" w:styleId="964" w:customStyle="1">
    <w:name w:val="Исполнитель"/>
    <w:basedOn w:val="712"/>
    <w:pPr>
      <w:ind w:right="142" w:firstLine="130"/>
      <w:widowControl/>
    </w:pPr>
    <w:rPr>
      <w:i/>
      <w:sz w:val="14"/>
      <w:szCs w:val="14"/>
    </w:rPr>
  </w:style>
  <w:style w:type="paragraph" w:styleId="965" w:customStyle="1">
    <w:name w:val="Подпись док"/>
    <w:basedOn w:val="713"/>
    <w:pPr>
      <w:ind w:right="2340"/>
      <w:jc w:val="both"/>
      <w:keepNext/>
      <w:spacing w:before="0" w:after="0"/>
      <w:tabs>
        <w:tab w:val="left" w:pos="7380" w:leader="none"/>
        <w:tab w:val="left" w:pos="8280" w:leader="none"/>
      </w:tabs>
    </w:pPr>
    <w:rPr>
      <w:rFonts w:ascii="Times New Roman" w:hAnsi="Times New Roman"/>
      <w:b w:val="0"/>
      <w:color w:val="auto"/>
      <w:sz w:val="28"/>
    </w:rPr>
  </w:style>
  <w:style w:type="paragraph" w:styleId="966" w:customStyle="1">
    <w:name w:val="Текст док"/>
    <w:basedOn w:val="712"/>
    <w:pPr>
      <w:numPr>
        <w:ilvl w:val="0"/>
        <w:numId w:val="2"/>
      </w:numPr>
      <w:jc w:val="both"/>
      <w:widowControl/>
      <w:tabs>
        <w:tab w:val="left" w:pos="993" w:leader="none"/>
        <w:tab w:val="left" w:pos="1134" w:leader="none"/>
        <w:tab w:val="left" w:pos="7088" w:leader="none"/>
      </w:tabs>
    </w:pPr>
    <w:rPr>
      <w:sz w:val="24"/>
      <w:szCs w:val="26"/>
    </w:rPr>
  </w:style>
  <w:style w:type="paragraph" w:styleId="967">
    <w:name w:val="Block Text"/>
    <w:basedOn w:val="712"/>
    <w:pPr>
      <w:ind w:left="1418" w:right="-284"/>
      <w:jc w:val="center"/>
      <w:widowControl/>
    </w:pPr>
  </w:style>
  <w:style w:type="table" w:styleId="968" w:customStyle="1">
    <w:name w:val="Сетка таблицы2"/>
    <w:basedOn w:val="723"/>
    <w:next w:val="888"/>
    <w:uiPriority w:val="59"/>
    <w:pPr>
      <w:ind w:firstLine="709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69" w:customStyle="1">
    <w:name w:val="Àäðåñíûå ðåêâèçèòû"/>
    <w:basedOn w:val="943"/>
    <w:next w:val="943"/>
    <w:pPr>
      <w:jc w:val="left"/>
    </w:pPr>
    <w:rPr>
      <w:sz w:val="16"/>
    </w:rPr>
  </w:style>
  <w:style w:type="paragraph" w:styleId="970" w:customStyle="1">
    <w:name w:val="Адресат док"/>
    <w:basedOn w:val="882"/>
    <w:pPr>
      <w:ind w:right="857" w:firstLine="0"/>
      <w:jc w:val="right"/>
      <w:tabs>
        <w:tab w:val="clear" w:pos="4153" w:leader="none"/>
        <w:tab w:val="clear" w:pos="8306" w:leader="none"/>
        <w:tab w:val="right" w:pos="10260" w:leader="none"/>
      </w:tabs>
    </w:pPr>
    <w:rPr>
      <w:b w:val="0"/>
      <w:sz w:val="28"/>
      <w:szCs w:val="20"/>
    </w:rPr>
  </w:style>
  <w:style w:type="paragraph" w:styleId="971" w:customStyle="1">
    <w:name w:val="Текст документа Перед:  3 пт"/>
    <w:basedOn w:val="712"/>
    <w:pPr>
      <w:ind w:firstLine="709"/>
      <w:jc w:val="both"/>
      <w:spacing w:before="60"/>
      <w:widowControl/>
    </w:pPr>
    <w:rPr>
      <w:sz w:val="26"/>
      <w:szCs w:val="26"/>
    </w:rPr>
  </w:style>
  <w:style w:type="paragraph" w:styleId="972" w:customStyle="1">
    <w:name w:val="Телефон"/>
    <w:basedOn w:val="712"/>
    <w:pPr>
      <w:jc w:val="center"/>
      <w:widowControl/>
    </w:pPr>
    <w:rPr>
      <w:b/>
      <w:sz w:val="24"/>
    </w:rPr>
  </w:style>
  <w:style w:type="paragraph" w:styleId="973" w:customStyle="1">
    <w:name w:val="Шапка2"/>
    <w:basedOn w:val="712"/>
    <w:pPr>
      <w:jc w:val="center"/>
      <w:spacing w:after="240"/>
      <w:widowControl/>
      <w:pBdr>
        <w:bottom w:val="single" w:color="000000" w:sz="8" w:space="1"/>
      </w:pBdr>
    </w:pPr>
    <w:rPr>
      <w:b/>
    </w:rPr>
  </w:style>
  <w:style w:type="paragraph" w:styleId="974" w:customStyle="1">
    <w:name w:val="ConsNonformat"/>
    <w:pPr>
      <w:spacing w:after="0" w:line="240" w:lineRule="auto"/>
    </w:pPr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975" w:customStyle="1">
    <w:name w:val="ConsNormal"/>
    <w:pPr>
      <w:ind w:firstLine="720"/>
      <w:spacing w:after="0" w:line="240" w:lineRule="auto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976" w:customStyle="1">
    <w:name w:val="ConsTitle"/>
    <w:pPr>
      <w:spacing w:after="0" w:line="240" w:lineRule="auto"/>
    </w:pPr>
    <w:rPr>
      <w:rFonts w:ascii="Arial" w:hAnsi="Arial" w:eastAsia="Times New Roman" w:cs="Times New Roman"/>
      <w:b/>
      <w:sz w:val="16"/>
      <w:szCs w:val="20"/>
      <w:lang w:eastAsia="ru-RU"/>
    </w:rPr>
  </w:style>
  <w:style w:type="paragraph" w:styleId="977" w:customStyle="1">
    <w:name w:val="Знак1 Знак Знак Знак"/>
    <w:basedOn w:val="712"/>
    <w:pPr>
      <w:widowControl/>
    </w:pPr>
    <w:rPr>
      <w:rFonts w:ascii="Verdana" w:hAnsi="Verdana" w:cs="Verdana"/>
      <w:lang w:val="en-US" w:eastAsia="en-US"/>
    </w:rPr>
  </w:style>
  <w:style w:type="character" w:styleId="978">
    <w:name w:val="annotation reference"/>
    <w:basedOn w:val="722"/>
    <w:rPr>
      <w:sz w:val="16"/>
      <w:szCs w:val="16"/>
    </w:rPr>
  </w:style>
  <w:style w:type="paragraph" w:styleId="979">
    <w:name w:val="annotation text"/>
    <w:basedOn w:val="712"/>
    <w:link w:val="980"/>
    <w:pPr>
      <w:ind w:firstLine="709"/>
      <w:widowControl/>
    </w:pPr>
  </w:style>
  <w:style w:type="character" w:styleId="980" w:customStyle="1">
    <w:name w:val="Текст примечания Знак"/>
    <w:basedOn w:val="722"/>
    <w:link w:val="97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81">
    <w:name w:val="annotation subject"/>
    <w:basedOn w:val="979"/>
    <w:next w:val="979"/>
    <w:link w:val="982"/>
    <w:uiPriority w:val="99"/>
    <w:rPr>
      <w:b/>
      <w:bCs/>
    </w:rPr>
  </w:style>
  <w:style w:type="character" w:styleId="982" w:customStyle="1">
    <w:name w:val="Тема примечания Знак"/>
    <w:basedOn w:val="980"/>
    <w:link w:val="981"/>
    <w:uiPriority w:val="99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983" w:customStyle="1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984" w:customStyle="1">
    <w:name w:val="xl63"/>
    <w:basedOn w:val="712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985" w:customStyle="1">
    <w:name w:val="xl64"/>
    <w:basedOn w:val="712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86" w:customStyle="1">
    <w:name w:val="xl65"/>
    <w:basedOn w:val="712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87" w:customStyle="1">
    <w:name w:val="xl66"/>
    <w:basedOn w:val="712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</w:pBdr>
    </w:pPr>
  </w:style>
  <w:style w:type="paragraph" w:styleId="988" w:customStyle="1">
    <w:name w:val="xl67"/>
    <w:basedOn w:val="712"/>
    <w:pPr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89" w:customStyle="1">
    <w:name w:val="xl68"/>
    <w:basedOn w:val="712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990" w:customStyle="1">
    <w:name w:val="xl69"/>
    <w:basedOn w:val="712"/>
    <w:pPr>
      <w:jc w:val="center"/>
      <w:spacing w:before="100" w:beforeAutospacing="1" w:after="100" w:afterAutospacing="1"/>
      <w:widowControl/>
    </w:pPr>
    <w:rPr>
      <w:sz w:val="24"/>
      <w:szCs w:val="24"/>
    </w:rPr>
  </w:style>
  <w:style w:type="paragraph" w:styleId="991" w:customStyle="1">
    <w:name w:val="xl70"/>
    <w:basedOn w:val="712"/>
    <w:pPr>
      <w:jc w:val="center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992" w:customStyle="1">
    <w:name w:val="xl71"/>
    <w:basedOn w:val="712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93" w:customStyle="1">
    <w:name w:val="xl72"/>
    <w:basedOn w:val="712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right w:val="single" w:color="000000" w:sz="4" w:space="0"/>
      </w:pBdr>
    </w:pPr>
  </w:style>
  <w:style w:type="paragraph" w:styleId="994" w:customStyle="1">
    <w:name w:val="xl73"/>
    <w:basedOn w:val="712"/>
    <w:pPr>
      <w:spacing w:before="100" w:beforeAutospacing="1" w:after="100" w:afterAutospacing="1"/>
      <w:widowControl/>
      <w:pBdr>
        <w:left w:val="single" w:color="000000" w:sz="4" w:space="0"/>
        <w:right w:val="single" w:color="000000" w:sz="4" w:space="0"/>
      </w:pBdr>
    </w:pPr>
  </w:style>
  <w:style w:type="paragraph" w:styleId="995" w:customStyle="1">
    <w:name w:val="xl74"/>
    <w:basedOn w:val="712"/>
    <w:pPr>
      <w:spacing w:before="100" w:beforeAutospacing="1" w:after="100" w:afterAutospacing="1"/>
      <w:widowControl/>
      <w:pBdr>
        <w:top w:val="single" w:color="000000" w:sz="4" w:space="0"/>
      </w:pBdr>
    </w:pPr>
  </w:style>
  <w:style w:type="paragraph" w:styleId="996" w:customStyle="1">
    <w:name w:val="xl75"/>
    <w:basedOn w:val="712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97" w:customStyle="1">
    <w:name w:val="xl76"/>
    <w:basedOn w:val="712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998" w:customStyle="1">
    <w:name w:val="xl77"/>
    <w:basedOn w:val="712"/>
    <w:pPr>
      <w:jc w:val="center"/>
      <w:spacing w:before="100" w:beforeAutospacing="1" w:after="100" w:afterAutospacing="1"/>
      <w:widowControl/>
      <w:pBdr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999" w:customStyle="1">
    <w:name w:val="xl78"/>
    <w:basedOn w:val="712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000" w:customStyle="1">
    <w:name w:val="xl79"/>
    <w:basedOn w:val="712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right w:val="single" w:color="000000" w:sz="4" w:space="0"/>
      </w:pBdr>
    </w:pPr>
  </w:style>
  <w:style w:type="paragraph" w:styleId="1001" w:customStyle="1">
    <w:name w:val="xl80"/>
    <w:basedOn w:val="712"/>
    <w:pPr>
      <w:jc w:val="center"/>
      <w:spacing w:before="100" w:beforeAutospacing="1" w:after="100" w:afterAutospacing="1"/>
      <w:widowControl/>
      <w:pBdr>
        <w:left w:val="single" w:color="000000" w:sz="4" w:space="0"/>
        <w:right w:val="single" w:color="000000" w:sz="4" w:space="0"/>
      </w:pBdr>
    </w:pPr>
  </w:style>
  <w:style w:type="paragraph" w:styleId="1002" w:customStyle="1">
    <w:name w:val="xl81"/>
    <w:basedOn w:val="712"/>
    <w:pPr>
      <w:jc w:val="center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003" w:customStyle="1">
    <w:name w:val="Знак"/>
    <w:basedOn w:val="712"/>
    <w:pPr>
      <w:spacing w:after="160" w:line="240" w:lineRule="exact"/>
      <w:widowControl/>
    </w:pPr>
    <w:rPr>
      <w:rFonts w:ascii="Verdana" w:hAnsi="Verdana"/>
      <w:lang w:val="en-US" w:eastAsia="en-US"/>
    </w:rPr>
  </w:style>
  <w:style w:type="paragraph" w:styleId="1004" w:customStyle="1">
    <w:name w:val="Style2"/>
    <w:basedOn w:val="712"/>
    <w:pPr>
      <w:jc w:val="center"/>
      <w:spacing w:line="322" w:lineRule="exact"/>
    </w:pPr>
    <w:rPr>
      <w:rFonts w:eastAsia="Calibri"/>
      <w:sz w:val="24"/>
      <w:szCs w:val="24"/>
    </w:rPr>
  </w:style>
  <w:style w:type="character" w:styleId="1005" w:customStyle="1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styleId="1006" w:customStyle="1">
    <w:name w:val="Style3"/>
    <w:basedOn w:val="712"/>
    <w:pPr>
      <w:jc w:val="both"/>
    </w:pPr>
    <w:rPr>
      <w:rFonts w:eastAsia="Calibri"/>
      <w:sz w:val="24"/>
      <w:szCs w:val="24"/>
    </w:rPr>
  </w:style>
  <w:style w:type="table" w:styleId="1007" w:customStyle="1">
    <w:name w:val="Сетка таблицы3"/>
    <w:basedOn w:val="723"/>
    <w:next w:val="888"/>
    <w:uiPriority w:val="59"/>
    <w:pPr>
      <w:ind w:firstLine="709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08" w:customStyle="1">
    <w:name w:val="Сетка таблицы4"/>
    <w:basedOn w:val="723"/>
    <w:next w:val="888"/>
    <w:uiPriority w:val="59"/>
    <w:pPr>
      <w:ind w:firstLine="709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29912-FAF3-44BA-B019-5274FE435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revision>13</cp:revision>
  <dcterms:created xsi:type="dcterms:W3CDTF">2024-03-22T08:29:00Z</dcterms:created>
  <dcterms:modified xsi:type="dcterms:W3CDTF">2024-04-16T02:44:33Z</dcterms:modified>
</cp:coreProperties>
</file>