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5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pStyle w:val="865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 xml:space="preserve">ДЕПАРТАМЕНТ</w:t>
      </w:r>
      <w:r>
        <w:rPr>
          <w:rFonts w:ascii="PT Astra Serif" w:hAnsi="PT Astra Serif"/>
          <w:b/>
          <w:sz w:val="30"/>
          <w:szCs w:val="30"/>
        </w:rPr>
        <w:br/>
        <w:t xml:space="preserve">ПО УПРАВЛЕНИЮ ГОСУДАРСТВЕННОЙ СОБСТВЕННОСТЬЮ</w:t>
      </w:r>
      <w:r/>
    </w:p>
    <w:p>
      <w:pPr>
        <w:pStyle w:val="865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 xml:space="preserve">ТОМСКОЙ ОБЛАСТИ</w:t>
      </w:r>
      <w:r/>
    </w:p>
    <w:p>
      <w:pPr>
        <w:jc w:val="center"/>
        <w:rPr>
          <w:rFonts w:ascii="PT Astra Serif" w:hAnsi="PT Astra Serif"/>
          <w:b/>
          <w:sz w:val="48"/>
          <w:szCs w:val="48"/>
        </w:rPr>
      </w:pPr>
      <w:r>
        <w:rPr>
          <w:rFonts w:ascii="PT Astra Serif" w:hAnsi="PT Astra Serif"/>
          <w:b/>
          <w:sz w:val="48"/>
          <w:szCs w:val="48"/>
        </w:rPr>
      </w:r>
      <w:r/>
    </w:p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РАСПОРЯЖЕНИЕ</w:t>
      </w:r>
      <w:r/>
    </w:p>
    <w:p>
      <w:pPr>
        <w:jc w:val="center"/>
        <w:rPr>
          <w:rFonts w:ascii="PT Astra Serif" w:hAnsi="PT Astra Serif"/>
          <w:sz w:val="48"/>
          <w:szCs w:val="48"/>
          <w:u w:val="none"/>
        </w:rPr>
      </w:pPr>
      <w:r>
        <w:rPr>
          <w:rFonts w:ascii="PT Astra Serif" w:hAnsi="PT Astra Serif"/>
          <w:sz w:val="48"/>
          <w:szCs w:val="48"/>
          <w:u w:val="none"/>
        </w:rPr>
      </w:r>
      <w:r>
        <w:rPr>
          <w:u w:val="none"/>
        </w:rPr>
      </w:r>
    </w:p>
    <w:p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none"/>
        </w:rPr>
        <w:t xml:space="preserve">15.05.2024</w:t>
      </w:r>
      <w:r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ab/>
        <w:t xml:space="preserve">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                 </w:t>
      </w:r>
      <w:r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          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32-о</w:t>
      </w:r>
      <w:r/>
    </w:p>
    <w:p>
      <w:pPr>
        <w:rPr>
          <w:rFonts w:ascii="PT Astra Serif" w:hAnsi="PT Astra Serif"/>
          <w:sz w:val="48"/>
          <w:szCs w:val="48"/>
        </w:rPr>
      </w:pPr>
      <w:r>
        <w:rPr>
          <w:rFonts w:ascii="PT Astra Serif" w:hAnsi="PT Astra Serif"/>
          <w:sz w:val="48"/>
          <w:szCs w:val="48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 xml:space="preserve">отдельные распоряжения </w:t>
      </w:r>
      <w:r>
        <w:rPr>
          <w:rFonts w:ascii="PT Astra Serif" w:hAnsi="PT Astra Serif"/>
          <w:sz w:val="26"/>
          <w:szCs w:val="26"/>
        </w:rPr>
        <w:t xml:space="preserve">Департамента по управлению государственной собственностью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tabs>
          <w:tab w:val="left" w:pos="709" w:leader="none"/>
          <w:tab w:val="left" w:pos="993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решения Томского областного суда от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26.12.2023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по делу                        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№ 3а-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89/2023, апелляционного определения Пятого апелляционного суда общей юрисдикции от 17.04.2024 по делу № 66а-493/2024</w:t>
      </w:r>
      <w:r>
        <w:rPr>
          <w:rFonts w:ascii="PT Astra Serif" w:hAnsi="PT Astra Serif"/>
          <w:sz w:val="26"/>
          <w:szCs w:val="26"/>
          <w:lang w:eastAsia="en-US"/>
        </w:rPr>
        <w:t xml:space="preserve">:</w:t>
      </w:r>
      <w:r/>
    </w:p>
    <w:p>
      <w:pPr>
        <w:ind w:firstLine="709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>
        <w:rPr>
          <w:rFonts w:ascii="PT Astra Serif" w:hAnsi="PT Astra Serif"/>
          <w:sz w:val="26"/>
          <w:szCs w:val="26"/>
        </w:rPr>
        <w:t xml:space="preserve">от 26.11.2021 № 110-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определении перечня объектов для целей налогообложения на 2022 год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(Официальный интернет-портал «Электронная Администрация Томской области» www.tomsk.gov.ru, </w:t>
      </w:r>
      <w:r>
        <w:rPr>
          <w:rFonts w:ascii="PT Astra Serif" w:hAnsi="PT Astra Serif"/>
          <w:sz w:val="26"/>
          <w:szCs w:val="26"/>
          <w:highlight w:val="white"/>
        </w:rPr>
        <w:t xml:space="preserve">2</w:t>
      </w:r>
      <w:r>
        <w:rPr>
          <w:rFonts w:ascii="PT Astra Serif" w:hAnsi="PT Astra Serif"/>
          <w:sz w:val="26"/>
          <w:szCs w:val="26"/>
          <w:highlight w:val="none"/>
        </w:rPr>
        <w:t xml:space="preserve">6.11.2021</w:t>
      </w:r>
      <w:r>
        <w:rPr>
          <w:rFonts w:ascii="PT Astra Serif" w:hAnsi="PT Astra Serif"/>
          <w:sz w:val="26"/>
          <w:szCs w:val="26"/>
        </w:rPr>
        <w:t xml:space="preserve">) изменение, </w:t>
      </w:r>
      <w:r>
        <w:rPr>
          <w:rFonts w:ascii="PT Astra Serif" w:hAnsi="PT Astra Serif"/>
          <w:sz w:val="26"/>
          <w:szCs w:val="26"/>
        </w:rPr>
        <w:t xml:space="preserve">исключив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перечн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 xml:space="preserve">2 год, определенн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 указанн</w:t>
      </w:r>
      <w:r>
        <w:rPr>
          <w:rFonts w:ascii="PT Astra Serif" w:hAnsi="PT Astra Serif"/>
          <w:sz w:val="26"/>
          <w:szCs w:val="26"/>
        </w:rPr>
        <w:t xml:space="preserve">ым</w:t>
      </w:r>
      <w:r>
        <w:rPr>
          <w:rFonts w:ascii="PT Astra Serif" w:hAnsi="PT Astra Serif"/>
          <w:sz w:val="26"/>
          <w:szCs w:val="26"/>
        </w:rPr>
        <w:t xml:space="preserve"> распоряжени</w:t>
      </w:r>
      <w:r>
        <w:rPr>
          <w:rFonts w:ascii="PT Astra Serif" w:hAnsi="PT Astra Serif"/>
          <w:sz w:val="26"/>
          <w:szCs w:val="26"/>
        </w:rPr>
        <w:t xml:space="preserve">ем, строку 3465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firstLine="709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</w:t>
      </w:r>
      <w:r>
        <w:rPr>
          <w:rFonts w:ascii="PT Astra Serif" w:hAnsi="PT Astra Serif"/>
          <w:sz w:val="26"/>
          <w:szCs w:val="26"/>
        </w:rPr>
        <w:t xml:space="preserve">25.11.2022</w:t>
      </w:r>
      <w:r>
        <w:rPr>
          <w:rFonts w:ascii="PT Astra Serif" w:hAnsi="PT Astra Serif"/>
          <w:sz w:val="26"/>
          <w:szCs w:val="26"/>
        </w:rPr>
        <w:t xml:space="preserve"> № 160-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определении перечня объектов для целей налогообложения на 2023 год</w:t>
      </w:r>
      <w:r>
        <w:rPr>
          <w:rFonts w:ascii="PT Astra Serif" w:hAnsi="PT Astra Serif"/>
          <w:sz w:val="26"/>
          <w:szCs w:val="26"/>
        </w:rPr>
        <w:t xml:space="preserve">» (Официальный интернет-портал «Электронная Администрация Томской области» www.tomsk.gov.ru, </w:t>
      </w:r>
      <w:r>
        <w:rPr>
          <w:rFonts w:ascii="PT Astra Serif" w:hAnsi="PT Astra Serif"/>
          <w:sz w:val="26"/>
          <w:szCs w:val="26"/>
        </w:rPr>
        <w:t xml:space="preserve">29.11.2022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изменение, </w:t>
      </w:r>
      <w:r>
        <w:rPr>
          <w:rFonts w:ascii="PT Astra Serif" w:hAnsi="PT Astra Serif"/>
          <w:sz w:val="26"/>
          <w:szCs w:val="26"/>
        </w:rPr>
        <w:t xml:space="preserve">исключив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перечн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 год, определенн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 указанн</w:t>
      </w:r>
      <w:r>
        <w:rPr>
          <w:rFonts w:ascii="PT Astra Serif" w:hAnsi="PT Astra Serif"/>
          <w:sz w:val="26"/>
          <w:szCs w:val="26"/>
        </w:rPr>
        <w:t xml:space="preserve">ым</w:t>
      </w:r>
      <w:r>
        <w:rPr>
          <w:rFonts w:ascii="PT Astra Serif" w:hAnsi="PT Astra Serif"/>
          <w:sz w:val="26"/>
          <w:szCs w:val="26"/>
        </w:rPr>
        <w:t xml:space="preserve"> распоряжени</w:t>
      </w:r>
      <w:r>
        <w:rPr>
          <w:rFonts w:ascii="PT Astra Serif" w:hAnsi="PT Astra Serif"/>
          <w:sz w:val="26"/>
          <w:szCs w:val="26"/>
        </w:rPr>
        <w:t xml:space="preserve">ем, строку 3411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tabs>
          <w:tab w:val="left" w:pos="709" w:leader="none"/>
          <w:tab w:val="left" w:pos="993" w:leader="none"/>
        </w:tabs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Комитету </w:t>
      </w:r>
      <w:r>
        <w:rPr>
          <w:rFonts w:ascii="PT Astra Serif" w:hAnsi="PT Astra Serif"/>
          <w:sz w:val="26"/>
          <w:szCs w:val="26"/>
        </w:rPr>
        <w:t xml:space="preserve">документационно</w:t>
      </w:r>
      <w:r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на официальном интернет-портале </w:t>
      </w:r>
      <w:r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и </w:t>
      </w:r>
      <w:r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государственной собственностью Томской области.</w:t>
      </w:r>
      <w:r/>
    </w:p>
    <w:p>
      <w:pPr>
        <w:tabs>
          <w:tab w:val="left" w:pos="709" w:leader="none"/>
          <w:tab w:val="left" w:pos="993" w:leader="none"/>
        </w:tabs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3. Комитету </w:t>
      </w:r>
      <w:r>
        <w:rPr>
          <w:rFonts w:ascii="PT Astra Serif" w:hAnsi="PT Astra Serif"/>
          <w:sz w:val="26"/>
          <w:szCs w:val="26"/>
        </w:rPr>
        <w:t xml:space="preserve">проектной деятельности</w:t>
      </w:r>
      <w:r>
        <w:rPr>
          <w:rFonts w:ascii="PT Astra Serif" w:hAnsi="PT Astra Serif"/>
          <w:sz w:val="26"/>
          <w:szCs w:val="26"/>
        </w:rPr>
        <w:t xml:space="preserve"> направить настоящее распоряжение в Управление Федеральной налоговой службы по Томской области.</w:t>
      </w:r>
      <w:r/>
    </w:p>
    <w:p>
      <w:pPr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4. </w:t>
      </w:r>
      <w:r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>
        <w:rPr>
          <w:rFonts w:ascii="PT Astra Serif" w:hAnsi="PT Astra Serif"/>
          <w:sz w:val="26"/>
          <w:szCs w:val="26"/>
        </w:rPr>
        <w:t xml:space="preserve">подписания и</w:t>
      </w:r>
      <w:bookmarkStart w:id="0" w:name="_GoBack"/>
      <w:r/>
      <w:bookmarkEnd w:id="0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части </w:t>
      </w:r>
      <w:r>
        <w:rPr>
          <w:rFonts w:ascii="PT Astra Serif" w:hAnsi="PT Astra Serif"/>
          <w:sz w:val="26"/>
          <w:szCs w:val="26"/>
        </w:rPr>
        <w:t xml:space="preserve">подпункта 1) пункта 1 настоящего распоряжения </w:t>
      </w:r>
      <w:r>
        <w:rPr>
          <w:rFonts w:ascii="PT Astra Serif" w:hAnsi="PT Astra Serif"/>
          <w:sz w:val="26"/>
          <w:szCs w:val="26"/>
        </w:rPr>
        <w:t xml:space="preserve">распространяется </w:t>
      </w:r>
      <w:r>
        <w:rPr>
          <w:rFonts w:ascii="PT Astra Serif" w:hAnsi="PT Astra Serif"/>
          <w:sz w:val="26"/>
          <w:szCs w:val="26"/>
        </w:rPr>
        <w:t xml:space="preserve">на отношения, возникшие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 xml:space="preserve">26.11.2021</w:t>
      </w:r>
      <w:r>
        <w:rPr>
          <w:rFonts w:ascii="PT Astra Serif" w:hAnsi="PT Astra Serif"/>
          <w:sz w:val="26"/>
          <w:szCs w:val="26"/>
        </w:rPr>
        <w:t xml:space="preserve">, в части подпункта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пункта 1 настоящего распоряжения </w:t>
      </w:r>
      <w:r>
        <w:rPr>
          <w:rFonts w:ascii="PT Astra Serif" w:hAnsi="PT Astra Serif"/>
          <w:sz w:val="26"/>
          <w:szCs w:val="26"/>
        </w:rPr>
        <w:t xml:space="preserve">распространяется </w:t>
      </w:r>
      <w:r>
        <w:rPr>
          <w:rFonts w:ascii="PT Astra Serif" w:hAnsi="PT Astra Serif"/>
          <w:sz w:val="26"/>
          <w:szCs w:val="26"/>
        </w:rPr>
        <w:t xml:space="preserve">на отношения</w:t>
      </w:r>
      <w:r>
        <w:rPr>
          <w:rFonts w:ascii="PT Astra Serif" w:hAnsi="PT Astra Serif"/>
          <w:sz w:val="26"/>
          <w:szCs w:val="26"/>
        </w:rPr>
        <w:t xml:space="preserve">, возникшие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 xml:space="preserve">25.11.2022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tabs>
          <w:tab w:val="left" w:pos="709" w:leader="none"/>
          <w:tab w:val="left" w:pos="993" w:leader="none"/>
        </w:tabs>
        <w:rPr>
          <w:rFonts w:ascii="PT Astra Serif" w:hAnsi="PT Astra Serif"/>
          <w:color w:val="0000f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</w:r>
      <w:r/>
    </w:p>
    <w:p>
      <w:pPr>
        <w:ind w:right="-1"/>
        <w:tabs>
          <w:tab w:val="left" w:pos="79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ind w:right="-1"/>
        <w:tabs>
          <w:tab w:val="left" w:pos="79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ачальник</w:t>
      </w:r>
      <w:r>
        <w:rPr>
          <w:rFonts w:ascii="PT Astra Serif" w:hAnsi="PT Astra Serif"/>
          <w:sz w:val="26"/>
          <w:szCs w:val="26"/>
        </w:rPr>
        <w:t xml:space="preserve"> департамента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Т.А. Исакова</w:t>
      </w:r>
      <w:r>
        <w:rPr>
          <w:rFonts w:ascii="PT Astra Serif" w:hAnsi="PT Astra Serif"/>
          <w:sz w:val="26"/>
          <w:szCs w:val="26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567" w:bottom="1276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  <w:p>
      <w:r/>
      <w:r/>
    </w:p>
  </w:endnote>
  <w:endnote w:type="continuationSeparator" w:id="0">
    <w:p>
      <w:r>
        <w:continuationSeparator/>
      </w:r>
      <w:r/>
    </w:p>
    <w:p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  <w:p>
      <w:r/>
      <w:r/>
    </w:p>
  </w:footnote>
  <w:footnote w:type="continuationSeparator" w:id="0">
    <w:p>
      <w:r>
        <w:continuationSeparator/>
      </w:r>
      <w:r/>
    </w:p>
    <w:p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43553208"/>
      <w:docPartObj>
        <w:docPartGallery w:val="Page Numbers (Top of Page)"/>
        <w:docPartUnique w:val="true"/>
      </w:docPartObj>
      <w:rPr/>
    </w:sdtPr>
    <w:sdtContent>
      <w:p>
        <w:pPr>
          <w:pStyle w:val="865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865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  <w:tabs>
          <w:tab w:val="num" w:pos="1287" w:leader="none"/>
        </w:tabs>
      </w:pPr>
    </w:lvl>
    <w:lvl w:ilvl="1">
      <w:start w:val="1"/>
      <w:numFmt w:val="decimal"/>
      <w:isLgl w:val="false"/>
      <w:suff w:val="tab"/>
      <w:lvlText w:val="%2)"/>
      <w:lvlJc w:val="left"/>
      <w:pPr>
        <w:ind w:left="2007" w:hanging="360"/>
        <w:tabs>
          <w:tab w:val="num" w:pos="2007" w:leader="none"/>
        </w:tabs>
      </w:pPr>
      <w:rPr>
        <w:color w:val="auto"/>
      </w:rPr>
    </w:lvl>
    <w:lvl w:ilvl="2">
      <w:start w:val="1"/>
      <w:numFmt w:val="russianLower"/>
      <w:isLgl w:val="false"/>
      <w:suff w:val="tab"/>
      <w:lvlText w:val="%3)"/>
      <w:lvlJc w:val="left"/>
      <w:pPr>
        <w:ind w:left="2907" w:hanging="360"/>
        <w:tabs>
          <w:tab w:val="num" w:pos="290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  <w:tabs>
          <w:tab w:val="num" w:pos="344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  <w:tabs>
          <w:tab w:val="num" w:pos="416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  <w:tabs>
          <w:tab w:val="num" w:pos="488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  <w:tabs>
          <w:tab w:val="num" w:pos="560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  <w:tabs>
          <w:tab w:val="num" w:pos="632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  <w:tabs>
          <w:tab w:val="num" w:pos="7047" w:leader="none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1"/>
    <w:next w:val="861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2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1"/>
    <w:next w:val="861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2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1"/>
    <w:next w:val="861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2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1"/>
    <w:next w:val="861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2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1"/>
    <w:next w:val="861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2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1"/>
    <w:next w:val="861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1"/>
    <w:next w:val="861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2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1"/>
    <w:next w:val="861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2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1"/>
    <w:next w:val="861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2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character" w:styleId="707">
    <w:name w:val="Title Char"/>
    <w:basedOn w:val="862"/>
    <w:link w:val="871"/>
    <w:uiPriority w:val="10"/>
    <w:rPr>
      <w:sz w:val="48"/>
      <w:szCs w:val="48"/>
    </w:rPr>
  </w:style>
  <w:style w:type="paragraph" w:styleId="708">
    <w:name w:val="Subtitle"/>
    <w:basedOn w:val="861"/>
    <w:next w:val="861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>
    <w:name w:val="Subtitle Char"/>
    <w:basedOn w:val="862"/>
    <w:link w:val="708"/>
    <w:uiPriority w:val="11"/>
    <w:rPr>
      <w:sz w:val="24"/>
      <w:szCs w:val="24"/>
    </w:rPr>
  </w:style>
  <w:style w:type="paragraph" w:styleId="710">
    <w:name w:val="Quote"/>
    <w:basedOn w:val="861"/>
    <w:next w:val="861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61"/>
    <w:next w:val="861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character" w:styleId="714">
    <w:name w:val="Header Char"/>
    <w:basedOn w:val="862"/>
    <w:link w:val="865"/>
    <w:uiPriority w:val="99"/>
  </w:style>
  <w:style w:type="character" w:styleId="715">
    <w:name w:val="Footer Char"/>
    <w:basedOn w:val="862"/>
    <w:link w:val="873"/>
    <w:uiPriority w:val="99"/>
  </w:style>
  <w:style w:type="paragraph" w:styleId="716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>
    <w:name w:val="Caption Char"/>
    <w:basedOn w:val="716"/>
    <w:link w:val="873"/>
    <w:uiPriority w:val="99"/>
  </w:style>
  <w:style w:type="table" w:styleId="718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>
    <w:name w:val="Header"/>
    <w:basedOn w:val="861"/>
    <w:link w:val="866"/>
    <w:uiPriority w:val="99"/>
    <w:unhideWhenUsed/>
    <w:pPr>
      <w:tabs>
        <w:tab w:val="center" w:pos="4153" w:leader="none"/>
        <w:tab w:val="right" w:pos="8306" w:leader="none"/>
      </w:tabs>
    </w:pPr>
  </w:style>
  <w:style w:type="character" w:styleId="866" w:customStyle="1">
    <w:name w:val="Верхний колонтитул Знак"/>
    <w:basedOn w:val="862"/>
    <w:link w:val="86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7">
    <w:name w:val="Balloon Text"/>
    <w:basedOn w:val="861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862"/>
    <w:link w:val="86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9">
    <w:name w:val="List Paragraph"/>
    <w:basedOn w:val="861"/>
    <w:uiPriority w:val="34"/>
    <w:qFormat/>
    <w:pPr>
      <w:contextualSpacing/>
      <w:ind w:left="720"/>
    </w:pPr>
  </w:style>
  <w:style w:type="table" w:styleId="870">
    <w:name w:val="Table Grid"/>
    <w:basedOn w:val="86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1">
    <w:name w:val="Title"/>
    <w:basedOn w:val="861"/>
    <w:link w:val="872"/>
    <w:qFormat/>
    <w:pPr>
      <w:ind w:left="-426" w:right="-908"/>
      <w:jc w:val="center"/>
    </w:pPr>
    <w:rPr>
      <w:sz w:val="28"/>
    </w:rPr>
  </w:style>
  <w:style w:type="character" w:styleId="872" w:customStyle="1">
    <w:name w:val="Название Знак"/>
    <w:basedOn w:val="862"/>
    <w:link w:val="87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73">
    <w:name w:val="Footer"/>
    <w:basedOn w:val="861"/>
    <w:link w:val="874"/>
    <w:uiPriority w:val="99"/>
    <w:unhideWhenUsed/>
    <w:pPr>
      <w:jc w:val="left"/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874" w:customStyle="1">
    <w:name w:val="Нижний колонтитул Знак"/>
    <w:basedOn w:val="862"/>
    <w:link w:val="87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3DC0-1289-404C-BA3E-5CC4474AB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revision>52</cp:revision>
  <dcterms:created xsi:type="dcterms:W3CDTF">2023-03-13T02:39:00Z</dcterms:created>
  <dcterms:modified xsi:type="dcterms:W3CDTF">2024-05-20T09:17:56Z</dcterms:modified>
</cp:coreProperties>
</file>