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46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2</w:t>
      </w:r>
      <w:r>
        <w:rPr>
          <w:rFonts w:ascii="PT Astra Serif" w:hAnsi="PT Astra Serif"/>
          <w:b/>
          <w:sz w:val="28"/>
          <w:szCs w:val="28"/>
        </w:rPr>
        <w:t xml:space="preserve">4</w:t>
      </w:r>
      <w:r>
        <w:rPr>
          <w:rFonts w:ascii="PT Astra Serif" w:hAnsi="PT Astra Serif"/>
          <w:b/>
          <w:sz w:val="28"/>
          <w:szCs w:val="28"/>
        </w:rPr>
        <w:t xml:space="preserve">.</w:t>
      </w:r>
      <w:r>
        <w:rPr>
          <w:rFonts w:ascii="PT Astra Serif" w:hAnsi="PT Astra Serif"/>
          <w:b/>
          <w:sz w:val="28"/>
          <w:szCs w:val="28"/>
        </w:rPr>
        <w:t xml:space="preserve">0</w:t>
      </w:r>
      <w:r>
        <w:rPr>
          <w:rFonts w:ascii="PT Astra Serif" w:hAnsi="PT Astra Serif"/>
          <w:b/>
          <w:sz w:val="28"/>
          <w:szCs w:val="28"/>
        </w:rPr>
        <w:t xml:space="preserve">9</w:t>
      </w:r>
      <w:r>
        <w:rPr>
          <w:rFonts w:ascii="PT Astra Serif" w:hAnsi="PT Astra Serif"/>
          <w:b/>
          <w:sz w:val="28"/>
          <w:szCs w:val="28"/>
        </w:rPr>
        <w:t xml:space="preserve">.20</w:t>
      </w:r>
      <w:r>
        <w:rPr>
          <w:rFonts w:ascii="PT Astra Serif" w:hAnsi="PT Astra Serif"/>
          <w:b/>
          <w:sz w:val="28"/>
          <w:szCs w:val="28"/>
        </w:rPr>
        <w:t xml:space="preserve">2</w:t>
      </w:r>
      <w:r>
        <w:rPr>
          <w:rFonts w:ascii="PT Astra Serif" w:hAnsi="PT Astra Serif"/>
          <w:b/>
          <w:sz w:val="28"/>
          <w:szCs w:val="28"/>
        </w:rPr>
        <w:t xml:space="preserve">5</w:t>
      </w:r>
      <w:r>
        <w:rPr>
          <w:rFonts w:ascii="PT Astra Serif" w:hAnsi="PT Astra Serif"/>
          <w:b/>
          <w:sz w:val="28"/>
          <w:szCs w:val="28"/>
        </w:rPr>
        <w:t xml:space="preserve"> состо</w:t>
      </w:r>
      <w:r>
        <w:rPr>
          <w:rFonts w:ascii="PT Astra Serif" w:hAnsi="PT Astra Serif"/>
          <w:b/>
          <w:sz w:val="28"/>
          <w:szCs w:val="28"/>
        </w:rPr>
        <w:t xml:space="preserve">ялось</w:t>
      </w:r>
      <w:r>
        <w:rPr>
          <w:rFonts w:ascii="PT Astra Serif" w:hAnsi="PT Astra Serif"/>
          <w:b/>
          <w:sz w:val="28"/>
          <w:szCs w:val="28"/>
        </w:rPr>
        <w:t xml:space="preserve"> </w:t>
      </w:r>
      <w:r>
        <w:rPr>
          <w:rFonts w:ascii="PT Astra Serif" w:hAnsi="PT Astra Serif"/>
          <w:b/>
          <w:sz w:val="28"/>
          <w:szCs w:val="28"/>
        </w:rPr>
        <w:t xml:space="preserve"> </w:t>
      </w:r>
      <w:r>
        <w:rPr>
          <w:rFonts w:ascii="PT Astra Serif" w:hAnsi="PT Astra Serif"/>
          <w:b/>
          <w:sz w:val="28"/>
          <w:szCs w:val="28"/>
        </w:rPr>
      </w:r>
      <w:r>
        <w:rPr>
          <w:rFonts w:ascii="PT Astra Serif" w:hAnsi="PT Astra Serif"/>
          <w:b/>
          <w:sz w:val="28"/>
          <w:szCs w:val="28"/>
        </w:rPr>
      </w:r>
    </w:p>
    <w:p>
      <w:pPr>
        <w:pStyle w:val="646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з</w:t>
      </w:r>
      <w:r>
        <w:rPr>
          <w:rFonts w:ascii="PT Astra Serif" w:hAnsi="PT Astra Serif"/>
          <w:sz w:val="28"/>
          <w:szCs w:val="28"/>
        </w:rPr>
        <w:t xml:space="preserve">аседание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комиссии по соблюдению требований к служебному поведению государственных гражданских служащих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и урегулированию конфликта интересов</w:t>
      </w:r>
      <w:r>
        <w:rPr>
          <w:rFonts w:ascii="PT Astra Serif" w:hAnsi="PT Astra Serif"/>
          <w:b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pStyle w:val="646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Департамента по управлению государственной собственностью </w:t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pStyle w:val="646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Томской области</w:t>
      </w:r>
      <w:r>
        <w:rPr>
          <w:rFonts w:ascii="PT Astra Serif" w:hAnsi="PT Astra Serif"/>
          <w:sz w:val="28"/>
          <w:szCs w:val="28"/>
        </w:rPr>
      </w:r>
    </w:p>
    <w:p>
      <w:pPr>
        <w:pStyle w:val="646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pStyle w:val="646"/>
        <w:jc w:val="both"/>
        <w:rPr>
          <w:rFonts w:ascii="PT Astra Serif" w:hAnsi="PT Astra Serif"/>
          <w:b/>
          <w:sz w:val="28"/>
          <w:szCs w:val="28"/>
          <w:u w:val="single"/>
        </w:rPr>
      </w:pPr>
      <w:r>
        <w:rPr>
          <w:rFonts w:ascii="PT Astra Serif" w:hAnsi="PT Astra Serif"/>
          <w:b/>
          <w:sz w:val="28"/>
          <w:szCs w:val="28"/>
          <w:u w:val="single"/>
        </w:rPr>
        <w:t xml:space="preserve">Повестка: </w:t>
      </w:r>
      <w:r>
        <w:rPr>
          <w:rFonts w:ascii="PT Astra Serif" w:hAnsi="PT Astra Serif"/>
          <w:b/>
          <w:sz w:val="28"/>
          <w:szCs w:val="28"/>
          <w:u w:val="single"/>
        </w:rPr>
      </w:r>
      <w:r>
        <w:rPr>
          <w:rFonts w:ascii="PT Astra Serif" w:hAnsi="PT Astra Serif"/>
          <w:b/>
          <w:sz w:val="28"/>
          <w:szCs w:val="28"/>
          <w:u w:val="single"/>
        </w:rPr>
      </w:r>
    </w:p>
    <w:p>
      <w:pPr>
        <w:pStyle w:val="646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</w:t>
      </w:r>
      <w:r>
        <w:rPr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О результатах анализа, проведенного комитетом документационно-кадровой работы Департамента, сведений о доходах, расхо</w:t>
      </w:r>
      <w:r>
        <w:rPr>
          <w:rFonts w:ascii="PT Astra Serif" w:hAnsi="PT Astra Serif"/>
          <w:sz w:val="28"/>
          <w:szCs w:val="28"/>
        </w:rPr>
        <w:t xml:space="preserve">дах, об имуществе и обязательствах имущественного характера, представленных государственными гражданскими служащими Томской области, замещающими должности в Департаменте по управлению государственной собственностью Томской области за 2024, 2023, 2022 годы </w:t>
      </w:r>
      <w:r>
        <w:rPr>
          <w:rFonts w:ascii="PT Astra Serif" w:hAnsi="PT Astra Serif"/>
          <w:sz w:val="28"/>
          <w:szCs w:val="28"/>
        </w:rPr>
      </w:r>
    </w:p>
    <w:p>
      <w:pPr>
        <w:pStyle w:val="646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 О результатах проведения анализа правоприменительной практики по результатам вступивших в законную силу решений судов, арбитражных судов </w:t>
      </w:r>
      <w:r>
        <w:rPr>
          <w:rFonts w:ascii="PT Astra Serif" w:hAnsi="PT Astra Serif"/>
          <w:sz w:val="28"/>
          <w:szCs w:val="28"/>
        </w:rPr>
        <w:t xml:space="preserve">о признании недействительными ненормативных правовых актов, незаконными решений и действий (бездействия) Департамента и его должностных лиц в целях выработки и принятия мер по предупреждению и устранению причин выявленных нарушений за 3 квартал 2025 года. </w:t>
      </w:r>
      <w:r>
        <w:rPr>
          <w:rFonts w:ascii="PT Astra Serif" w:hAnsi="PT Astra Serif"/>
          <w:sz w:val="28"/>
          <w:szCs w:val="28"/>
        </w:rPr>
      </w:r>
    </w:p>
    <w:p>
      <w:pPr>
        <w:pStyle w:val="646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 О результатах оценки эффективности деятельности по профилактик</w:t>
      </w:r>
      <w:r>
        <w:rPr>
          <w:rFonts w:ascii="PT Astra Serif" w:hAnsi="PT Astra Serif"/>
          <w:sz w:val="28"/>
          <w:szCs w:val="28"/>
        </w:rPr>
        <w:t xml:space="preserve">е коррупционных правонарушений в соответствии с распоряжением Губернатора Томской области от 28.06.2019 № 143-р «О повышении эффективности деятельности исполнительных органов Томской области по профилактике коррупционных правонарушений».</w:t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pStyle w:val="646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pStyle w:val="646"/>
        <w:jc w:val="both"/>
        <w:rPr>
          <w:rFonts w:ascii="PT Astra Serif" w:hAnsi="PT Astra Serif"/>
          <w:b/>
          <w:sz w:val="28"/>
          <w:szCs w:val="28"/>
          <w:u w:val="single"/>
        </w:rPr>
      </w:pPr>
      <w:r>
        <w:rPr>
          <w:rFonts w:ascii="PT Astra Serif" w:hAnsi="PT Astra Serif"/>
          <w:b/>
          <w:sz w:val="28"/>
          <w:szCs w:val="28"/>
          <w:u w:val="single"/>
        </w:rPr>
        <w:t xml:space="preserve">Решение:</w:t>
      </w:r>
      <w:r>
        <w:rPr>
          <w:rFonts w:ascii="PT Astra Serif" w:hAnsi="PT Astra Serif"/>
          <w:b/>
          <w:sz w:val="28"/>
          <w:szCs w:val="28"/>
          <w:u w:val="single"/>
        </w:rPr>
      </w:r>
      <w:r>
        <w:rPr>
          <w:rFonts w:ascii="PT Astra Serif" w:hAnsi="PT Astra Serif"/>
          <w:b/>
          <w:sz w:val="28"/>
          <w:szCs w:val="28"/>
          <w:u w:val="single"/>
        </w:rPr>
      </w:r>
    </w:p>
    <w:p>
      <w:pPr>
        <w:pStyle w:val="646"/>
        <w:ind w:firstLine="708"/>
        <w:jc w:val="both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По первому вопросу:</w:t>
      </w:r>
      <w:r>
        <w:rPr>
          <w:rFonts w:ascii="PT Astra Serif" w:hAnsi="PT Astra Serif"/>
          <w:b/>
          <w:sz w:val="28"/>
          <w:szCs w:val="28"/>
        </w:rPr>
      </w:r>
    </w:p>
    <w:p>
      <w:pPr>
        <w:pStyle w:val="646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Принять к сведению информацию о результатах анализа, проведенного комитетом документационно-кадровой работы Департамента, сведен</w:t>
      </w:r>
      <w:r>
        <w:rPr>
          <w:rFonts w:ascii="PT Astra Serif" w:hAnsi="PT Astra Serif"/>
          <w:sz w:val="28"/>
          <w:szCs w:val="28"/>
        </w:rPr>
        <w:t xml:space="preserve">ий о доходах, расходах, об имуществе и обязательствах имущественного характера, представленных государственными гражданскими служащими Томской области, замещающими должности в Департаменте по управлению государственной собственностью Томской области за 202</w:t>
      </w:r>
      <w:r>
        <w:rPr>
          <w:rFonts w:ascii="PT Astra Serif" w:hAnsi="PT Astra Serif"/>
          <w:sz w:val="28"/>
          <w:szCs w:val="28"/>
          <w:lang w:val="en-US"/>
        </w:rPr>
        <w:t xml:space="preserve">4</w:t>
      </w:r>
      <w:r>
        <w:rPr>
          <w:rFonts w:ascii="PT Astra Serif" w:hAnsi="PT Astra Serif"/>
          <w:sz w:val="28"/>
          <w:szCs w:val="28"/>
        </w:rPr>
        <w:t xml:space="preserve">, 202</w:t>
      </w:r>
      <w:r>
        <w:rPr>
          <w:rFonts w:ascii="PT Astra Serif" w:hAnsi="PT Astra Serif"/>
          <w:sz w:val="28"/>
          <w:szCs w:val="28"/>
          <w:lang w:val="en-US"/>
        </w:rPr>
        <w:t xml:space="preserve">3</w:t>
      </w:r>
      <w:r>
        <w:rPr>
          <w:rFonts w:ascii="PT Astra Serif" w:hAnsi="PT Astra Serif"/>
          <w:sz w:val="28"/>
          <w:szCs w:val="28"/>
        </w:rPr>
        <w:t xml:space="preserve">, 202</w:t>
      </w:r>
      <w:r>
        <w:rPr>
          <w:rFonts w:ascii="PT Astra Serif" w:hAnsi="PT Astra Serif"/>
          <w:sz w:val="28"/>
          <w:szCs w:val="28"/>
          <w:lang w:val="en-US"/>
        </w:rPr>
        <w:t xml:space="preserve">2</w:t>
      </w:r>
      <w:r>
        <w:rPr>
          <w:rFonts w:ascii="PT Astra Serif" w:hAnsi="PT Astra Serif"/>
          <w:sz w:val="28"/>
          <w:szCs w:val="28"/>
        </w:rPr>
        <w:t xml:space="preserve"> годы.</w:t>
      </w:r>
      <w:r>
        <w:rPr>
          <w:rFonts w:ascii="PT Astra Serif" w:hAnsi="PT Astra Serif"/>
          <w:sz w:val="28"/>
          <w:szCs w:val="28"/>
        </w:rPr>
      </w:r>
    </w:p>
    <w:p>
      <w:pPr>
        <w:pStyle w:val="646"/>
        <w:ind w:firstLine="708"/>
        <w:jc w:val="both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</w:r>
      <w:r>
        <w:rPr>
          <w:rFonts w:ascii="PT Astra Serif" w:hAnsi="PT Astra Serif"/>
          <w:b/>
          <w:sz w:val="28"/>
          <w:szCs w:val="28"/>
        </w:rPr>
      </w:r>
    </w:p>
    <w:p>
      <w:pPr>
        <w:pStyle w:val="646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По второму вопросу</w:t>
      </w:r>
      <w:r>
        <w:rPr>
          <w:rFonts w:ascii="PT Astra Serif" w:hAnsi="PT Astra Serif"/>
          <w:sz w:val="28"/>
          <w:szCs w:val="28"/>
        </w:rPr>
        <w:t xml:space="preserve">:</w:t>
      </w:r>
      <w:r>
        <w:rPr>
          <w:rFonts w:ascii="PT Astra Serif" w:hAnsi="PT Astra Serif"/>
          <w:sz w:val="28"/>
          <w:szCs w:val="28"/>
        </w:rPr>
      </w:r>
    </w:p>
    <w:p>
      <w:pPr>
        <w:pStyle w:val="646"/>
        <w:ind w:firstLine="708"/>
        <w:jc w:val="both"/>
        <w:rPr>
          <w:rFonts w:ascii="PT Astra Serif" w:hAnsi="PT Astra Serif"/>
          <w:color w:val="ff0000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Принять к сведению информацию о пра</w:t>
      </w:r>
      <w:r>
        <w:rPr>
          <w:rFonts w:ascii="PT Astra Serif" w:hAnsi="PT Astra Serif"/>
          <w:sz w:val="28"/>
          <w:szCs w:val="28"/>
        </w:rPr>
        <w:t xml:space="preserve">воприменительной практике по результатам вступивших в законную силу решений судов, арбитражных судов о признании недействительными ненормативных правовых актов Департамента, незаконными решений и действий (бездействия) Департамента за 3 квартал 2024 года. </w:t>
      </w:r>
      <w:r>
        <w:rPr>
          <w:rFonts w:ascii="PT Astra Serif" w:hAnsi="PT Astra Serif"/>
          <w:color w:val="ff0000"/>
          <w:sz w:val="28"/>
          <w:szCs w:val="28"/>
        </w:rPr>
      </w:r>
      <w:r>
        <w:rPr>
          <w:rFonts w:ascii="PT Astra Serif" w:hAnsi="PT Astra Serif"/>
          <w:color w:val="ff0000"/>
          <w:sz w:val="28"/>
          <w:szCs w:val="28"/>
        </w:rPr>
      </w:r>
    </w:p>
    <w:p>
      <w:pPr>
        <w:pStyle w:val="653"/>
        <w:ind w:left="0" w:firstLine="708"/>
        <w:spacing w:after="0" w:line="24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pStyle w:val="653"/>
        <w:ind w:left="284"/>
        <w:spacing w:after="0" w:line="24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По третьему вопросу</w:t>
      </w:r>
      <w:r>
        <w:rPr>
          <w:rFonts w:ascii="PT Astra Serif" w:hAnsi="PT Astra Serif"/>
          <w:sz w:val="28"/>
          <w:szCs w:val="28"/>
        </w:rPr>
        <w:t xml:space="preserve">:</w:t>
      </w:r>
      <w:r>
        <w:rPr>
          <w:rFonts w:ascii="PT Astra Serif" w:hAnsi="PT Astra Serif"/>
          <w:sz w:val="28"/>
          <w:szCs w:val="28"/>
        </w:rPr>
      </w:r>
    </w:p>
    <w:p>
      <w:pPr>
        <w:pStyle w:val="653"/>
        <w:ind w:left="284"/>
        <w:spacing w:after="0" w:line="24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Принять к сведению информацию о результатах оценки эффективности деятельн</w:t>
      </w:r>
      <w:r>
        <w:rPr>
          <w:rFonts w:ascii="PT Astra Serif" w:hAnsi="PT Astra Serif"/>
          <w:sz w:val="28"/>
          <w:szCs w:val="28"/>
        </w:rPr>
        <w:t xml:space="preserve">ости по профилактике коррупционных правонарушений в соответствии с распоряжением Губернатора Томской области от 28.06.2019 № 143-р «О повышении эффективности деятельности исполнительных органов Томской области по профилактике коррупционных правонарушений».</w:t>
      </w:r>
      <w:r>
        <w:rPr>
          <w:rFonts w:ascii="PT Astra Serif" w:hAnsi="PT Astra Serif"/>
          <w:sz w:val="28"/>
          <w:szCs w:val="28"/>
        </w:rPr>
      </w:r>
    </w:p>
    <w:sectPr>
      <w:footnotePr/>
      <w:endnotePr/>
      <w:type w:val="nextPage"/>
      <w:pgSz w:w="11906" w:h="16838" w:orient="portrait"/>
      <w:pgMar w:top="340" w:right="567" w:bottom="851" w:left="85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  <w:tabs>
          <w:tab w:val="num" w:pos="1065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  <w:tabs>
          <w:tab w:val="num" w:pos="1785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  <w:tabs>
          <w:tab w:val="num" w:pos="2505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  <w:tabs>
          <w:tab w:val="num" w:pos="3225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  <w:tabs>
          <w:tab w:val="num" w:pos="3945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  <w:tabs>
          <w:tab w:val="num" w:pos="4665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  <w:tabs>
          <w:tab w:val="num" w:pos="5385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  <w:tabs>
          <w:tab w:val="num" w:pos="6105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  <w:tabs>
          <w:tab w:val="num" w:pos="6825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35" w:hanging="375"/>
        <w:tabs>
          <w:tab w:val="num" w:pos="735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0" w:hanging="420"/>
        <w:tabs>
          <w:tab w:val="num" w:pos="78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  <w:tabs>
          <w:tab w:val="num" w:pos="1065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  <w:tabs>
          <w:tab w:val="num" w:pos="1785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  <w:tabs>
          <w:tab w:val="num" w:pos="2505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  <w:tabs>
          <w:tab w:val="num" w:pos="3225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  <w:tabs>
          <w:tab w:val="num" w:pos="3945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  <w:tabs>
          <w:tab w:val="num" w:pos="4665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  <w:tabs>
          <w:tab w:val="num" w:pos="5385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  <w:tabs>
          <w:tab w:val="num" w:pos="6105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  <w:tabs>
          <w:tab w:val="num" w:pos="6825" w:leader="none"/>
        </w:tabs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sz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8" w:hanging="990"/>
        <w:tabs>
          <w:tab w:val="num" w:pos="1698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  <w:tabs>
          <w:tab w:val="num" w:pos="1788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  <w:tabs>
          <w:tab w:val="num" w:pos="2508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  <w:tabs>
          <w:tab w:val="num" w:pos="3228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  <w:tabs>
          <w:tab w:val="num" w:pos="3948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  <w:tabs>
          <w:tab w:val="num" w:pos="4668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  <w:tabs>
          <w:tab w:val="num" w:pos="5388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  <w:tabs>
          <w:tab w:val="num" w:pos="6108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  <w:tabs>
          <w:tab w:val="num" w:pos="6828" w:leader="none"/>
        </w:tabs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60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8" w:hanging="360"/>
        <w:tabs>
          <w:tab w:val="num" w:pos="1068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  <w:tabs>
          <w:tab w:val="num" w:pos="1788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  <w:tabs>
          <w:tab w:val="num" w:pos="2508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  <w:tabs>
          <w:tab w:val="num" w:pos="3228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  <w:tabs>
          <w:tab w:val="num" w:pos="3948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  <w:tabs>
          <w:tab w:val="num" w:pos="4668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  <w:tabs>
          <w:tab w:val="num" w:pos="5388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  <w:tabs>
          <w:tab w:val="num" w:pos="6108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  <w:tabs>
          <w:tab w:val="num" w:pos="6828" w:leader="none"/>
        </w:tabs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sz w:val="28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73" w:hanging="1065"/>
        <w:tabs>
          <w:tab w:val="num" w:pos="1773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  <w:tabs>
          <w:tab w:val="num" w:pos="1788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  <w:tabs>
          <w:tab w:val="num" w:pos="2508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  <w:tabs>
          <w:tab w:val="num" w:pos="3228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  <w:tabs>
          <w:tab w:val="num" w:pos="3948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  <w:tabs>
          <w:tab w:val="num" w:pos="4668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  <w:tabs>
          <w:tab w:val="num" w:pos="5388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  <w:tabs>
          <w:tab w:val="num" w:pos="6108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  <w:tabs>
          <w:tab w:val="num" w:pos="6828" w:leader="none"/>
        </w:tabs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0" w:hanging="420"/>
        <w:tabs>
          <w:tab w:val="num" w:pos="78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num w:numId="1">
    <w:abstractNumId w:val="13"/>
  </w:num>
  <w:num w:numId="2">
    <w:abstractNumId w:val="10"/>
  </w:num>
  <w:num w:numId="3">
    <w:abstractNumId w:val="5"/>
  </w:num>
  <w:num w:numId="4">
    <w:abstractNumId w:val="3"/>
  </w:num>
  <w:num w:numId="5">
    <w:abstractNumId w:val="2"/>
  </w:num>
  <w:num w:numId="6">
    <w:abstractNumId w:val="14"/>
  </w:num>
  <w:num w:numId="7">
    <w:abstractNumId w:val="11"/>
  </w:num>
  <w:num w:numId="8">
    <w:abstractNumId w:val="0"/>
  </w:num>
  <w:num w:numId="9">
    <w:abstractNumId w:val="4"/>
  </w:num>
  <w:num w:numId="10">
    <w:abstractNumId w:val="7"/>
  </w:num>
  <w:num w:numId="11">
    <w:abstractNumId w:val="9"/>
  </w:num>
  <w:num w:numId="12">
    <w:abstractNumId w:val="1"/>
  </w:num>
  <w:num w:numId="13">
    <w:abstractNumId w:val="12"/>
  </w:num>
  <w:num w:numId="14">
    <w:abstractNumId w:val="6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46"/>
    <w:next w:val="646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11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46"/>
    <w:next w:val="646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11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46"/>
    <w:next w:val="646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11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46"/>
    <w:next w:val="646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46"/>
    <w:next w:val="646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46"/>
    <w:next w:val="646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46"/>
    <w:next w:val="646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46"/>
    <w:next w:val="646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46"/>
    <w:next w:val="646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646"/>
    <w:uiPriority w:val="34"/>
    <w:qFormat/>
    <w:pPr>
      <w:contextualSpacing/>
      <w:ind w:left="720"/>
    </w:p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46"/>
    <w:next w:val="646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11"/>
    <w:link w:val="34"/>
    <w:uiPriority w:val="10"/>
    <w:rPr>
      <w:sz w:val="48"/>
      <w:szCs w:val="48"/>
    </w:rPr>
  </w:style>
  <w:style w:type="paragraph" w:styleId="36">
    <w:name w:val="Subtitle"/>
    <w:basedOn w:val="646"/>
    <w:next w:val="646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11"/>
    <w:link w:val="36"/>
    <w:uiPriority w:val="11"/>
    <w:rPr>
      <w:sz w:val="24"/>
      <w:szCs w:val="24"/>
    </w:rPr>
  </w:style>
  <w:style w:type="paragraph" w:styleId="38">
    <w:name w:val="Quote"/>
    <w:basedOn w:val="646"/>
    <w:next w:val="646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46"/>
    <w:next w:val="646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46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11"/>
    <w:link w:val="42"/>
    <w:uiPriority w:val="99"/>
  </w:style>
  <w:style w:type="paragraph" w:styleId="44">
    <w:name w:val="Footer"/>
    <w:basedOn w:val="646"/>
    <w:link w:val="4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11"/>
    <w:link w:val="44"/>
    <w:uiPriority w:val="99"/>
  </w:style>
  <w:style w:type="paragraph" w:styleId="46">
    <w:name w:val="Caption"/>
    <w:basedOn w:val="646"/>
    <w:next w:val="646"/>
    <w:link w:val="4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11"/>
    <w:link w:val="46"/>
    <w:uiPriority w:val="35"/>
    <w:rPr>
      <w:b/>
      <w:bCs/>
      <w:color w:val="4f81bd" w:themeColor="accent1"/>
      <w:sz w:val="18"/>
      <w:szCs w:val="18"/>
    </w:rPr>
  </w:style>
  <w:style w:type="table" w:styleId="48">
    <w:name w:val="Table Grid"/>
    <w:basedOn w:val="3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46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11"/>
    <w:uiPriority w:val="99"/>
    <w:unhideWhenUsed/>
    <w:rPr>
      <w:vertAlign w:val="superscript"/>
    </w:rPr>
  </w:style>
  <w:style w:type="paragraph" w:styleId="178">
    <w:name w:val="endnote text"/>
    <w:basedOn w:val="646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11"/>
    <w:uiPriority w:val="99"/>
    <w:semiHidden/>
    <w:unhideWhenUsed/>
    <w:rPr>
      <w:vertAlign w:val="superscript"/>
    </w:rPr>
  </w:style>
  <w:style w:type="paragraph" w:styleId="181">
    <w:name w:val="toc 1"/>
    <w:basedOn w:val="646"/>
    <w:next w:val="646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46"/>
    <w:next w:val="646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46"/>
    <w:next w:val="646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46"/>
    <w:next w:val="646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46"/>
    <w:next w:val="646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46"/>
    <w:next w:val="646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46"/>
    <w:next w:val="646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46"/>
    <w:next w:val="646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46"/>
    <w:next w:val="646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46"/>
    <w:next w:val="646"/>
    <w:uiPriority w:val="99"/>
    <w:unhideWhenUsed/>
    <w:pPr>
      <w:spacing w:after="0" w:afterAutospacing="0"/>
    </w:pPr>
  </w:style>
  <w:style w:type="paragraph" w:styleId="646" w:default="1">
    <w:name w:val="Normal"/>
    <w:next w:val="646"/>
    <w:link w:val="646"/>
    <w:qFormat/>
    <w:rPr>
      <w:sz w:val="24"/>
      <w:szCs w:val="24"/>
      <w:lang w:val="ru-RU" w:eastAsia="ru-RU" w:bidi="ar-SA"/>
    </w:rPr>
  </w:style>
  <w:style w:type="character" w:styleId="647">
    <w:name w:val="Основной шрифт абзаца"/>
    <w:next w:val="647"/>
    <w:link w:val="646"/>
    <w:semiHidden/>
  </w:style>
  <w:style w:type="table" w:styleId="648">
    <w:name w:val="Обычная таблица"/>
    <w:next w:val="648"/>
    <w:link w:val="646"/>
    <w:semiHidden/>
    <w:tblPr/>
  </w:style>
  <w:style w:type="numbering" w:styleId="649">
    <w:name w:val="Нет списка"/>
    <w:next w:val="649"/>
    <w:link w:val="646"/>
    <w:semiHidden/>
  </w:style>
  <w:style w:type="table" w:styleId="650">
    <w:name w:val="Сетка таблицы"/>
    <w:basedOn w:val="648"/>
    <w:next w:val="650"/>
    <w:link w:val="646"/>
    <w:pPr>
      <w:jc w:val="both"/>
      <w:spacing w:line="360" w:lineRule="auto"/>
    </w:pPr>
    <w:tblPr/>
  </w:style>
  <w:style w:type="paragraph" w:styleId="651">
    <w:name w:val="Маркированный список"/>
    <w:basedOn w:val="646"/>
    <w:next w:val="651"/>
    <w:link w:val="646"/>
    <w:pPr>
      <w:ind w:firstLine="708"/>
      <w:jc w:val="both"/>
    </w:pPr>
    <w:rPr>
      <w:bCs/>
      <w:sz w:val="26"/>
      <w:szCs w:val="26"/>
    </w:rPr>
  </w:style>
  <w:style w:type="paragraph" w:styleId="652">
    <w:name w:val="Должность"/>
    <w:basedOn w:val="646"/>
    <w:next w:val="646"/>
    <w:link w:val="646"/>
    <w:rPr>
      <w:i/>
      <w:color w:val="000000"/>
      <w:szCs w:val="20"/>
    </w:rPr>
  </w:style>
  <w:style w:type="paragraph" w:styleId="653">
    <w:name w:val="Основной текст с отступом 2"/>
    <w:basedOn w:val="646"/>
    <w:next w:val="653"/>
    <w:link w:val="654"/>
    <w:pPr>
      <w:ind w:left="283" w:firstLine="709"/>
      <w:jc w:val="both"/>
      <w:spacing w:after="120" w:line="480" w:lineRule="auto"/>
    </w:pPr>
    <w:rPr>
      <w:szCs w:val="20"/>
    </w:rPr>
  </w:style>
  <w:style w:type="character" w:styleId="654">
    <w:name w:val="Основной текст с отступом 2 Знак"/>
    <w:next w:val="654"/>
    <w:link w:val="653"/>
    <w:rPr>
      <w:sz w:val="24"/>
    </w:rPr>
  </w:style>
  <w:style w:type="paragraph" w:styleId="655">
    <w:name w:val="Текст выноски"/>
    <w:basedOn w:val="646"/>
    <w:next w:val="655"/>
    <w:link w:val="656"/>
    <w:rPr>
      <w:rFonts w:ascii="Segoe UI" w:hAnsi="Segoe UI" w:cs="Segoe UI"/>
      <w:sz w:val="18"/>
      <w:szCs w:val="18"/>
    </w:rPr>
  </w:style>
  <w:style w:type="character" w:styleId="656">
    <w:name w:val="Текст выноски Знак"/>
    <w:next w:val="656"/>
    <w:link w:val="655"/>
    <w:rPr>
      <w:rFonts w:ascii="Segoe UI" w:hAnsi="Segoe UI" w:cs="Segoe UI"/>
      <w:sz w:val="18"/>
      <w:szCs w:val="18"/>
    </w:rPr>
  </w:style>
  <w:style w:type="character" w:styleId="768" w:default="1">
    <w:name w:val="Default Paragraph Font"/>
    <w:uiPriority w:val="1"/>
    <w:semiHidden/>
    <w:unhideWhenUsed/>
  </w:style>
  <w:style w:type="numbering" w:styleId="769" w:default="1">
    <w:name w:val="No List"/>
    <w:uiPriority w:val="99"/>
    <w:semiHidden/>
    <w:unhideWhenUsed/>
  </w:style>
  <w:style w:type="table" w:styleId="770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Р7-Офис/2025.3.1.923</Application>
  <Company>Microsoft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№1 от 05</dc:title>
  <dc:creator>larisa</dc:creator>
  <cp:lastModifiedBy>VedeniktovMB</cp:lastModifiedBy>
  <cp:revision>5</cp:revision>
  <dcterms:created xsi:type="dcterms:W3CDTF">2025-09-23T03:01:00Z</dcterms:created>
  <dcterms:modified xsi:type="dcterms:W3CDTF">2025-09-24T04:42:44Z</dcterms:modified>
  <cp:version>983040</cp:version>
</cp:coreProperties>
</file>