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C129D">
        <w:tc>
          <w:tcPr>
            <w:tcW w:w="1701" w:type="dxa"/>
            <w:tcBorders>
              <w:bottom w:val="nil"/>
            </w:tcBorders>
          </w:tcPr>
          <w:p w:rsidR="002C129D" w:rsidRDefault="00D166C7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27.11.2025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C129D" w:rsidRDefault="002C129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C129D" w:rsidRDefault="00D166C7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43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C129D" w:rsidRDefault="00D166C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18.06.2015 № 27 </w:t>
      </w:r>
    </w:p>
    <w:p w:rsidR="002C129D" w:rsidRDefault="002C129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C129D" w:rsidRDefault="002C129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</w:t>
      </w:r>
      <w:r>
        <w:rPr>
          <w:rFonts w:ascii="PT Astra Serif" w:hAnsi="PT Astra Serif" w:cs="Times New Roman"/>
          <w:sz w:val="28"/>
          <w:szCs w:val="28"/>
        </w:rPr>
        <w:t>приказ Департамента по управлению государственной собственностью Томской области от 18.06.2015 № 27 «Об утверждении положения об организации проведения аукционов на право заключения договоров на установку и эксплуатацию рекламных конструкций на земельных у</w:t>
      </w:r>
      <w:r>
        <w:rPr>
          <w:rFonts w:ascii="PT Astra Serif" w:hAnsi="PT Astra Serif" w:cs="Times New Roman"/>
          <w:sz w:val="28"/>
          <w:szCs w:val="28"/>
        </w:rPr>
        <w:t xml:space="preserve">частках, зданиях, ином недвижимом имуществе, находящемся </w:t>
      </w:r>
      <w:r>
        <w:rPr>
          <w:rFonts w:ascii="PT Astra Serif" w:hAnsi="PT Astra Serif" w:cs="Times New Roman"/>
          <w:sz w:val="28"/>
          <w:szCs w:val="28"/>
        </w:rPr>
        <w:br/>
        <w:t xml:space="preserve">в государственной собственности Томской области» (Официальный </w:t>
      </w:r>
      <w:r>
        <w:rPr>
          <w:rFonts w:ascii="PT Astra Serif" w:hAnsi="PT Astra Serif" w:cs="Times New Roman"/>
          <w:sz w:val="28"/>
          <w:szCs w:val="28"/>
        </w:rPr>
        <w:br/>
        <w:t xml:space="preserve">интернет-портал Администрации Томской области, </w: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fldChar w:fldCharType="begin"/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 xml:space="preserve"> 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HYPERLINK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 xml:space="preserve"> "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http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://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www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.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tomsk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.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gov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.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ru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" \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o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 xml:space="preserve"> "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http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://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www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.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tomsk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.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gov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>.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instrText>ru</w:instrText>
      </w:r>
      <w:r w:rsidRPr="00D166C7"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instrText xml:space="preserve">" </w:instrTex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fldChar w:fldCharType="separate"/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t>www</w:t>
      </w:r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t>.</w:t>
      </w:r>
      <w:proofErr w:type="spellStart"/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t>tomsk</w:t>
      </w:r>
      <w:proofErr w:type="spellEnd"/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t>.</w:t>
      </w:r>
      <w:proofErr w:type="spellStart"/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t>gov</w:t>
      </w:r>
      <w:proofErr w:type="spellEnd"/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</w:rPr>
        <w:t>.</w:t>
      </w:r>
      <w:proofErr w:type="spellStart"/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rStyle w:val="af4"/>
          <w:rFonts w:ascii="PT Astra Serif" w:hAnsi="PT Astra Serif" w:cs="Times New Roman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ascii="PT Astra Serif" w:hAnsi="PT Astra Serif" w:cs="Times New Roman"/>
          <w:sz w:val="28"/>
          <w:szCs w:val="28"/>
        </w:rPr>
        <w:t>, 2</w:t>
      </w:r>
      <w:r>
        <w:rPr>
          <w:rFonts w:ascii="PT Astra Serif" w:hAnsi="PT Astra Serif" w:cs="Times New Roman"/>
          <w:sz w:val="28"/>
          <w:szCs w:val="28"/>
        </w:rPr>
        <w:t>2.06.2015) следующие изменения: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Положении об организации проведения аукционов на право заключения договоров на установку и эксплуатацию рекламных конструкций </w:t>
      </w:r>
      <w:r>
        <w:rPr>
          <w:rFonts w:ascii="PT Astra Serif" w:hAnsi="PT Astra Serif" w:cs="Times New Roman"/>
          <w:sz w:val="28"/>
          <w:szCs w:val="28"/>
        </w:rPr>
        <w:br/>
        <w:t xml:space="preserve">на земельных участках, зданиях, ином недвижимом имуществе, находящемся </w:t>
      </w:r>
      <w:r>
        <w:rPr>
          <w:rFonts w:ascii="PT Astra Serif" w:hAnsi="PT Astra Serif" w:cs="Times New Roman"/>
          <w:sz w:val="28"/>
          <w:szCs w:val="28"/>
        </w:rPr>
        <w:br/>
        <w:t>в государственной собст</w:t>
      </w:r>
      <w:r>
        <w:rPr>
          <w:rFonts w:ascii="PT Astra Serif" w:hAnsi="PT Astra Serif" w:cs="Times New Roman"/>
          <w:sz w:val="28"/>
          <w:szCs w:val="28"/>
        </w:rPr>
        <w:t>венности Томской области, утвержденном указанным приказом (далее – Положение):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3 слова «на праве постоянного (бессрочного) пользования» заменить словами «в аренду»;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дополнить пунктом 5-1 следующего содержания: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«5-1. Заявителями могут быть юридические лица или физические лица, </w:t>
      </w:r>
      <w:r>
        <w:rPr>
          <w:rFonts w:ascii="PT Astra Serif" w:hAnsi="PT Astra Serif" w:cs="Times New Roman"/>
          <w:sz w:val="28"/>
          <w:szCs w:val="28"/>
        </w:rPr>
        <w:br/>
        <w:t>в том числе индивидуальные предприниматели (далее – заявитель).»;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абзац первый пункта 8 изложить в следующей редакции: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«8. </w:t>
      </w:r>
      <w:r>
        <w:rPr>
          <w:rFonts w:ascii="PT Astra Serif" w:hAnsi="PT Astra Serif"/>
          <w:sz w:val="28"/>
          <w:szCs w:val="28"/>
          <w:shd w:val="clear" w:color="auto" w:fill="FFFFFF"/>
        </w:rPr>
        <w:t>Организатор аукциона в течение 3 дней со дня регистрации заявлен</w:t>
      </w:r>
      <w:r>
        <w:rPr>
          <w:rFonts w:ascii="PT Astra Serif" w:hAnsi="PT Astra Serif"/>
          <w:sz w:val="28"/>
          <w:szCs w:val="28"/>
          <w:shd w:val="clear" w:color="auto" w:fill="FFFFFF"/>
        </w:rPr>
        <w:t>ия направляет запросы:»;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 пункты 9, 10 изложить в следующей редакции: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«9. При отсутствии в Реестре государственного имущества Томской области земельного участка, здания, иного недвижимого имущества, на котором предполагается установка рекламной конструкц</w:t>
      </w:r>
      <w:r>
        <w:rPr>
          <w:rFonts w:ascii="PT Astra Serif" w:hAnsi="PT Astra Serif" w:cs="Times New Roman"/>
          <w:sz w:val="28"/>
          <w:szCs w:val="28"/>
        </w:rPr>
        <w:t>ии, указанного в запросе, направленном в соответствии с подпунктом 1) пункта 8 настоящего Положения, Департамент по управлению государственной собственностью Томской области в течение 5 дней со дня получения запроса, указанного в подпункте 1) пункта 8 наст</w:t>
      </w:r>
      <w:r>
        <w:rPr>
          <w:rFonts w:ascii="PT Astra Serif" w:hAnsi="PT Astra Serif" w:cs="Times New Roman"/>
          <w:sz w:val="28"/>
          <w:szCs w:val="28"/>
        </w:rPr>
        <w:t>оящего Положения, направляет организатору аукциона информацию об отсутствии указанного в запросе имущества в Реестре государственного имущества Томской области.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10. При наличии в Реестре государственного имущества Томской области земельного участка, здания</w:t>
      </w:r>
      <w:r>
        <w:rPr>
          <w:rFonts w:ascii="PT Astra Serif" w:hAnsi="PT Astra Serif" w:cs="Times New Roman"/>
          <w:sz w:val="28"/>
          <w:szCs w:val="28"/>
        </w:rPr>
        <w:t>, иного недвижимого имущества, на котором предполагается установка рекламной конструкции, указанного в запросе, направленном в соответствии с подпунктом 1) пункта 8 настоящего Положения, Департамент по управлению государственной собственностью Томской обла</w:t>
      </w:r>
      <w:r>
        <w:rPr>
          <w:rFonts w:ascii="PT Astra Serif" w:hAnsi="PT Astra Serif" w:cs="Times New Roman"/>
          <w:sz w:val="28"/>
          <w:szCs w:val="28"/>
        </w:rPr>
        <w:t>сти в течение 10 дней со дня получения запроса, указанного в подпункте 1) пункта 8 настоящего Положения, одновременно с направлением информации о наличии указанного в запросе имущества в Реестре государственного имущества Томской области, осуществляет подг</w:t>
      </w:r>
      <w:r>
        <w:rPr>
          <w:rFonts w:ascii="PT Astra Serif" w:hAnsi="PT Astra Serif" w:cs="Times New Roman"/>
          <w:sz w:val="28"/>
          <w:szCs w:val="28"/>
        </w:rPr>
        <w:t>отовку, принятие и направление организатору аукциона правового акта Департамента по управлению государственной собственностью Томской области: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о согласовании размещения рекламной конструкции на имуществе организатора аукциона, если организатором аукцион</w:t>
      </w:r>
      <w:r>
        <w:rPr>
          <w:rFonts w:ascii="PT Astra Serif" w:hAnsi="PT Astra Serif" w:cs="Times New Roman"/>
          <w:sz w:val="28"/>
          <w:szCs w:val="28"/>
        </w:rPr>
        <w:t>а выступает учреждение, предприятие или доверительный управляющий;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о проведении аукциона, если организатором аукциона выступает специализированная организация.»;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абзац первый пункта 11 изложить в следующей редакции: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«11.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Организатор аукциона в течение </w:t>
      </w:r>
      <w:r>
        <w:rPr>
          <w:rFonts w:ascii="PT Astra Serif" w:hAnsi="PT Astra Serif"/>
          <w:sz w:val="28"/>
          <w:szCs w:val="28"/>
          <w:shd w:val="clear" w:color="auto" w:fill="FFFFFF"/>
        </w:rPr>
        <w:t>3 дней со дня получения ответов, на запросы, направленные в соответствии с пунктом 8 настоящего Положения, направляет заявителю отказ в проведении аукциона при наличии одного из следующих оснований:</w:t>
      </w:r>
      <w:r>
        <w:rPr>
          <w:rFonts w:ascii="PT Astra Serif" w:hAnsi="PT Astra Serif" w:cs="Times New Roman"/>
          <w:sz w:val="28"/>
          <w:szCs w:val="28"/>
        </w:rPr>
        <w:t xml:space="preserve">»; 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абзацы третий, четвертый пункта 15 изложить в следующе</w:t>
      </w:r>
      <w:r>
        <w:rPr>
          <w:rFonts w:ascii="PT Astra Serif" w:hAnsi="PT Astra Serif" w:cs="PT Astra Serif"/>
          <w:sz w:val="28"/>
          <w:szCs w:val="28"/>
        </w:rPr>
        <w:t>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«Решения по вопросам, отнесенным к компетенции комиссии, принимаются большинством голосов присутствующих на заседании членов комиссии путем открытого голосования. 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Комиссию возглавляет председатель комиссии. В период его отсутствия обязанности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председателя комиссии исполняет заместитель председателя комиссии.»;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пункт 16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«16. Информационное сообщение о проведении аукциона должно быть опубликовано организатором аукциона не позднее чем за 30 дней до дня окончания пода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чи заявок на участие в аукционе на официальном сайте Департамента по управлению государственной собственностью Томской области </w:t>
      </w:r>
      <w:hyperlink r:id="rId9" w:history="1"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dugs</w:t>
        </w:r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</w:t>
        </w:r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tomsk</w:t>
        </w:r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</w:t>
        </w:r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gov</w:t>
        </w:r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</w:t>
        </w:r>
        <w:r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ru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сайт Департамента) и (или) на сайте </w:t>
      </w:r>
      <w:hyperlink r:id="rId10" w:tooltip="www.torgi.gov.ru" w:history="1"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www.torgi.gov.ru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сайт торгов).»;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пункте 17: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подпункт 4)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«4) дата, время, место и ф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орма проведения аукциона;»;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подпункт 10)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«10) срок, в течение которого организатор аукциона вправе отказаться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>от проведения аукциона;»;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дополнить подпунктом 10-1) следующего содержания: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 xml:space="preserve">«10-1) о порядке определения </w:t>
      </w: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победителя аукциона;»;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пункт 18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«18. Организатор аукциона вправе принять решение о внесении изменений в информационное сообщение о проведении аукциона не позднее чем за пять дней до дня окончания срока подачи заявок на участи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в аукционе. В течение одного дня со дня принятия решения о внесении изменений в информационное сообщение о проведении аукциона организатор аукциона размещает изменения в информационное сообщение о проведении аукциона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на сайте, на котором в соответствии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</w:t>
      </w:r>
      <w:hyperlink r:id="rId11" w:tooltip="https://login.consultant.ru/link/?req=doc&amp;base=RLAW091&amp;n=103858&amp;dst=100053" w:history="1"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16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Положения размещено информационное сообщение о проведении аук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циона. При этом срок подачи заявок на участие в аукционе должен быть продлен таким образом, чтобы со дня размещения на сайте, на котором в соответствии с </w:t>
      </w:r>
      <w:hyperlink r:id="rId12" w:tooltip="https://login.consultant.ru/link/?req=doc&amp;base=RLAW091&amp;n=103858&amp;dst=100053" w:history="1"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16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Положения размещено информационное сообщение о проведении аукциона, внесенных изменений в извещение о проведении аукциона до даты окончания подачи заявок на участие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аукционе такой срок составлял не менее пятнадцати дней.»;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пункт 21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«21. К участию в аукционе допускаются лица, которые не позднее даты окончания срока подачи заявок, указанной в информационном сообщении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>о проведении аукцио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на, подали заявку на участие в аукционе в соответствии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с требованиями, установленными </w:t>
      </w:r>
      <w:hyperlink r:id="rId13" w:tooltip="https://login.consultant.ru/link/?req=doc&amp;base=RLAW091&amp;n=103858&amp;dst=100071" w:history="1"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23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Положения.»;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в пункте 23:</w:t>
      </w:r>
    </w:p>
    <w:p w:rsidR="002C129D" w:rsidRDefault="00D166C7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абзац пятый исключить;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абзац восьмой исключить;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 xml:space="preserve">в пункте 24: 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а) подпункт 2) изложить в следу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«2) заявка подписана лицом, не уполномоченным заявителем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на подписание заявок на участие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аукционе;»;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б) дополнить пунктами 4), 5) следующего содержания: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«4) проведения ликвидации заявителя или принятия арбитражным судом решения о признании заявителя - юридического лица, индивидуального предпринимателя, физического лица банкротом и об открытии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конкурсного производства;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5) приостановления деятельности заявителя - юридического лица, в порядке, предусмотренном </w:t>
      </w:r>
      <w:hyperlink r:id="rId14" w:anchor="/document/12125267/entry/0" w:tooltip="https://internet.garant.ru/#/document/12125267/entry/0" w:history="1"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Коде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ксом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> Российской Федерации об административных правонарушениях</w:t>
      </w:r>
      <w:r>
        <w:rPr>
          <w:rFonts w:ascii="PT Serif" w:eastAsia="PT Serif" w:hAnsi="PT Serif" w:cs="PT Serif"/>
          <w:color w:val="22272F"/>
          <w:sz w:val="26"/>
          <w:highlight w:val="white"/>
        </w:rPr>
        <w:t>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подпункт 2) пункта 25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«2) решение о допуске заявителя к участию в аукционе и признании заявителя участником аукциона или об отказе в допуске к участию в аукцион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с обоснованием решения об отказе в допуске к участию в аукционе и со ссылкой на нормы настоящего Положения, которым не соответствует заявитель, положений документации об аукционе, которым не соответствует заявка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>на участие в аукционе, положений заявки,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соответствующих требованиям документации об аукционе.»;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пункте 27 слова «указанного протокола» заменить словами </w:t>
      </w: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«протокола, указанного в пункте 25 настоящего Положения»;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в пункте 29 слова «или о допуске к участию в аукционе и признании участником аук</w:t>
      </w: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циона только одного заявителя, подавшего заявку на участие в аукционе,» исключить;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highlight w:val="white"/>
          <w:lang w:eastAsia="ru-RU" w:bidi="ar-SA"/>
        </w:rPr>
        <w:t>дополнить пунктом 29-1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следующего содержания: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«29-1. </w:t>
      </w:r>
      <w:r>
        <w:rPr>
          <w:rFonts w:ascii="PT Astra Serif" w:hAnsi="PT Astra Serif"/>
          <w:sz w:val="28"/>
          <w:szCs w:val="28"/>
          <w:shd w:val="clear" w:color="auto" w:fill="FFFFFF"/>
        </w:rPr>
        <w:t>В случае если решение о допуске к участию в аукционе и признании участником аукциона принято в отношении только одного з</w:t>
      </w:r>
      <w:r>
        <w:rPr>
          <w:rFonts w:ascii="PT Astra Serif" w:hAnsi="PT Astra Serif"/>
          <w:sz w:val="28"/>
          <w:szCs w:val="28"/>
          <w:shd w:val="clear" w:color="auto" w:fill="FFFFFF"/>
        </w:rPr>
        <w:t>аявителя, организатором аукциона совместно с уведомлением о принятом комиссией решении в адрес такого заявителя направляется проект договора на установку и эксплуатацию рекламной конструкции.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подпункт 1) пункта 32 изложить в следующей редакции: 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«1) коми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ссия непосредственно перед началом проведения аукциона регистрирует явившихся на аукцион участников аукциона (представителей участников аукциона). В случае проведения аукциона по нескольким лотам комиссия перед началом каждого лота регистрирует явившихся н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 аукцион участников аукциона, подавших заявки в отношении рассматриваемого лота (представителей участников аукциона). При регистрации участникам аукциона (представителям участников аукциона) выдаются пронумерованные карточки (далее – карточки);»;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пункт 36 изложить в следующей редакции: 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«36. Договор на установку и эксплуатацию рекламной конструкции заключается организатором аукциона с лицом, которое имеет право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на заключение договора, не ранее чем через 5 рабочих дней и не позднее чем через 20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рабочих дней со дня подписания протокола аукциона или протокола рассмотрения заявок в соответствии с пунктом 30 настоящего Положения, когда участником аукциона признан только один заявитель.»;</w:t>
      </w:r>
    </w:p>
    <w:p w:rsidR="002C129D" w:rsidRDefault="00D166C7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подпункт 1) пункта 38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«1) провед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ения ликвидации лица, которое имеет право на заключение договора, или принятия арбитражным судом решения о признании лица, которое имеет право на заключение договора, - юридического лица, индивидуального предпринимателя, физического лица банкротом;»;</w:t>
      </w:r>
    </w:p>
    <w:p w:rsidR="002C129D" w:rsidRDefault="00D166C7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дог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оворе на установку и эксплуатацию рекламной конструкции (рекламных конструкций) на земельных участках, зданиях, ином недвижимом имуществе, находящемся в государственной собственности Томской области, являющемся приложением к Положению:</w:t>
      </w:r>
    </w:p>
    <w:p w:rsidR="002C129D" w:rsidRDefault="00D166C7">
      <w:pPr>
        <w:pStyle w:val="a7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подпункте 3) пункт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 3.2 слова «вносить Стороне-2» заменить словами «вносить Стороне-1»;</w:t>
      </w:r>
    </w:p>
    <w:p w:rsidR="002C129D" w:rsidRDefault="00D166C7">
      <w:pPr>
        <w:pStyle w:val="a7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пункте 6.4 слова «в размере двадцати пяти процентов» заменить словами «в размере пятнадцати процентов»; </w:t>
      </w:r>
    </w:p>
    <w:p w:rsidR="002C129D" w:rsidRDefault="00D166C7">
      <w:pPr>
        <w:pStyle w:val="a7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пункте 6.5 слова «в размере десяти процентов» заменить словами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  <w:t>«в размере пя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ти процентов»;</w:t>
      </w:r>
    </w:p>
    <w:p w:rsidR="002C129D" w:rsidRDefault="00D166C7">
      <w:pPr>
        <w:pStyle w:val="a7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 9.2 изложить в следующей редакции:</w:t>
      </w:r>
    </w:p>
    <w:p w:rsidR="002C129D" w:rsidRDefault="00D166C7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«9.2. </w:t>
      </w:r>
      <w:r>
        <w:rPr>
          <w:rFonts w:ascii="PT Astra Serif" w:hAnsi="PT Astra Serif"/>
          <w:sz w:val="28"/>
          <w:szCs w:val="28"/>
          <w:shd w:val="clear" w:color="auto" w:fill="FFFFFF"/>
        </w:rPr>
        <w:t>Направление одной Стороной заявлений, уведомлений, извещений, требований или иных юридически значимых сообщений, с которыми действующее законодательство или настоящий договор связывает гражданс</w:t>
      </w:r>
      <w:r>
        <w:rPr>
          <w:rFonts w:ascii="PT Astra Serif" w:hAnsi="PT Astra Serif"/>
          <w:sz w:val="28"/>
          <w:szCs w:val="28"/>
          <w:shd w:val="clear" w:color="auto" w:fill="FFFFFF"/>
        </w:rPr>
        <w:t>ко-правовые последствия для другой Стороны (далее - Сообщения), осуществляется посредством вручения соответствующего Сообщения такой Стороне (уполномоченному представителю Стороны) под подпись, посредством направления Сообщения почтовым отправлением с объя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вленной ценностью, описью вложения и уведомлением о вручении по адресу, указанному </w:t>
      </w:r>
      <w:r>
        <w:rPr>
          <w:rFonts w:ascii="PT Astra Serif" w:hAnsi="PT Astra Serif"/>
          <w:sz w:val="28"/>
          <w:szCs w:val="28"/>
          <w:shd w:val="clear" w:color="auto" w:fill="FFFFFF"/>
        </w:rPr>
        <w:br/>
      </w:r>
      <w:r>
        <w:rPr>
          <w:rFonts w:ascii="PT Astra Serif" w:hAnsi="PT Astra Serif"/>
          <w:sz w:val="28"/>
          <w:szCs w:val="28"/>
          <w:shd w:val="clear" w:color="auto" w:fill="FFFFFF"/>
        </w:rPr>
        <w:lastRenderedPageBreak/>
        <w:t xml:space="preserve">в соответствующем пункте </w:t>
      </w:r>
      <w:hyperlink r:id="rId15" w:anchor="/document/7769110/entry/157" w:tooltip="https://internet.garant.ru/#/document/7769110/entry/157" w:history="1">
        <w:r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раздела 1</w:t>
        </w:r>
        <w:r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1</w:t>
        </w:r>
      </w:hyperlink>
      <w:r>
        <w:rPr>
          <w:rFonts w:ascii="PT Astra Serif" w:hAnsi="PT Astra Serif"/>
          <w:sz w:val="28"/>
          <w:szCs w:val="28"/>
          <w:shd w:val="clear" w:color="auto" w:fill="FFFFFF"/>
        </w:rPr>
        <w:t xml:space="preserve"> настоящего договора, либо </w:t>
      </w:r>
      <w:r>
        <w:rPr>
          <w:rFonts w:ascii="PT Astra Serif" w:hAnsi="PT Astra Serif"/>
          <w:sz w:val="28"/>
          <w:szCs w:val="28"/>
          <w:shd w:val="clear" w:color="auto" w:fill="FFFFFF"/>
        </w:rPr>
        <w:br/>
        <w:t>с использованием электронного документооборота.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».  </w:t>
      </w:r>
    </w:p>
    <w:p w:rsidR="002C129D" w:rsidRDefault="00D166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2C129D" w:rsidRDefault="00D166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</w:p>
    <w:p w:rsidR="002C129D" w:rsidRDefault="002C12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C129D" w:rsidRDefault="002C12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969"/>
        <w:gridCol w:w="3190"/>
        <w:gridCol w:w="2622"/>
      </w:tblGrid>
      <w:tr w:rsidR="002C129D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C129D" w:rsidRDefault="00D166C7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C129D" w:rsidRDefault="00D166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C129D" w:rsidRDefault="00D166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Т.А. Исакова</w:t>
            </w:r>
          </w:p>
        </w:tc>
      </w:tr>
    </w:tbl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129D" w:rsidRDefault="002C12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2C129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166C7">
      <w:r>
        <w:separator/>
      </w:r>
    </w:p>
  </w:endnote>
  <w:endnote w:type="continuationSeparator" w:id="0">
    <w:p w:rsidR="00000000" w:rsidRDefault="00D16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Serif">
    <w:altName w:val="PT Astra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6C7" w:rsidRDefault="00D166C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6C7" w:rsidRDefault="00D166C7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6C7" w:rsidRDefault="00D166C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166C7">
      <w:r>
        <w:separator/>
      </w:r>
    </w:p>
  </w:footnote>
  <w:footnote w:type="continuationSeparator" w:id="0">
    <w:p w:rsidR="00000000" w:rsidRDefault="00D16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6C7" w:rsidRDefault="00D166C7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9D" w:rsidRDefault="00D166C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29D" w:rsidRPr="00D166C7" w:rsidRDefault="00D166C7" w:rsidP="00D166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2C129D" w:rsidRDefault="00D166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2C129D" w:rsidRDefault="00D166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2C129D" w:rsidRDefault="002C12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3C5114"/>
    <w:multiLevelType w:val="hybridMultilevel"/>
    <w:tmpl w:val="00000000"/>
    <w:lvl w:ilvl="0" w:tplc="842E46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EC4C862">
      <w:start w:val="1"/>
      <w:numFmt w:val="lowerLetter"/>
      <w:lvlText w:val="%2."/>
      <w:lvlJc w:val="left"/>
      <w:pPr>
        <w:ind w:left="1789" w:hanging="360"/>
      </w:pPr>
    </w:lvl>
    <w:lvl w:ilvl="2" w:tplc="CC880EE6">
      <w:start w:val="1"/>
      <w:numFmt w:val="lowerRoman"/>
      <w:lvlText w:val="%3."/>
      <w:lvlJc w:val="right"/>
      <w:pPr>
        <w:ind w:left="2509" w:hanging="180"/>
      </w:pPr>
    </w:lvl>
    <w:lvl w:ilvl="3" w:tplc="D51C5198">
      <w:start w:val="1"/>
      <w:numFmt w:val="decimal"/>
      <w:lvlText w:val="%4."/>
      <w:lvlJc w:val="left"/>
      <w:pPr>
        <w:ind w:left="3229" w:hanging="360"/>
      </w:pPr>
    </w:lvl>
    <w:lvl w:ilvl="4" w:tplc="945618D4">
      <w:start w:val="1"/>
      <w:numFmt w:val="lowerLetter"/>
      <w:lvlText w:val="%5."/>
      <w:lvlJc w:val="left"/>
      <w:pPr>
        <w:ind w:left="3949" w:hanging="360"/>
      </w:pPr>
    </w:lvl>
    <w:lvl w:ilvl="5" w:tplc="D93A4482">
      <w:start w:val="1"/>
      <w:numFmt w:val="lowerRoman"/>
      <w:lvlText w:val="%6."/>
      <w:lvlJc w:val="right"/>
      <w:pPr>
        <w:ind w:left="4669" w:hanging="180"/>
      </w:pPr>
    </w:lvl>
    <w:lvl w:ilvl="6" w:tplc="8CE4805A">
      <w:start w:val="1"/>
      <w:numFmt w:val="decimal"/>
      <w:lvlText w:val="%7."/>
      <w:lvlJc w:val="left"/>
      <w:pPr>
        <w:ind w:left="5389" w:hanging="360"/>
      </w:pPr>
    </w:lvl>
    <w:lvl w:ilvl="7" w:tplc="651C5412">
      <w:start w:val="1"/>
      <w:numFmt w:val="lowerLetter"/>
      <w:lvlText w:val="%8."/>
      <w:lvlJc w:val="left"/>
      <w:pPr>
        <w:ind w:left="6109" w:hanging="360"/>
      </w:pPr>
    </w:lvl>
    <w:lvl w:ilvl="8" w:tplc="9CFE43A4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08BFE5"/>
    <w:multiLevelType w:val="hybridMultilevel"/>
    <w:tmpl w:val="00000000"/>
    <w:lvl w:ilvl="0" w:tplc="9D122E42">
      <w:start w:val="1"/>
      <w:numFmt w:val="decimal"/>
      <w:lvlText w:val="%1)"/>
      <w:lvlJc w:val="left"/>
      <w:pPr>
        <w:ind w:left="1418" w:hanging="360"/>
      </w:pPr>
    </w:lvl>
    <w:lvl w:ilvl="1" w:tplc="F1BEADE0">
      <w:start w:val="1"/>
      <w:numFmt w:val="lowerLetter"/>
      <w:lvlText w:val="%2."/>
      <w:lvlJc w:val="left"/>
      <w:pPr>
        <w:ind w:left="2138" w:hanging="360"/>
      </w:pPr>
    </w:lvl>
    <w:lvl w:ilvl="2" w:tplc="12CA4C68">
      <w:start w:val="1"/>
      <w:numFmt w:val="lowerRoman"/>
      <w:lvlText w:val="%3."/>
      <w:lvlJc w:val="right"/>
      <w:pPr>
        <w:ind w:left="2858" w:hanging="180"/>
      </w:pPr>
    </w:lvl>
    <w:lvl w:ilvl="3" w:tplc="A1B88740">
      <w:start w:val="1"/>
      <w:numFmt w:val="decimal"/>
      <w:lvlText w:val="%4."/>
      <w:lvlJc w:val="left"/>
      <w:pPr>
        <w:ind w:left="3578" w:hanging="360"/>
      </w:pPr>
    </w:lvl>
    <w:lvl w:ilvl="4" w:tplc="199832F2">
      <w:start w:val="1"/>
      <w:numFmt w:val="lowerLetter"/>
      <w:lvlText w:val="%5."/>
      <w:lvlJc w:val="left"/>
      <w:pPr>
        <w:ind w:left="4298" w:hanging="360"/>
      </w:pPr>
    </w:lvl>
    <w:lvl w:ilvl="5" w:tplc="F7C86446">
      <w:start w:val="1"/>
      <w:numFmt w:val="lowerRoman"/>
      <w:lvlText w:val="%6."/>
      <w:lvlJc w:val="right"/>
      <w:pPr>
        <w:ind w:left="5018" w:hanging="180"/>
      </w:pPr>
    </w:lvl>
    <w:lvl w:ilvl="6" w:tplc="2CBCB232">
      <w:start w:val="1"/>
      <w:numFmt w:val="decimal"/>
      <w:lvlText w:val="%7."/>
      <w:lvlJc w:val="left"/>
      <w:pPr>
        <w:ind w:left="5738" w:hanging="360"/>
      </w:pPr>
    </w:lvl>
    <w:lvl w:ilvl="7" w:tplc="ADE6CD48">
      <w:start w:val="1"/>
      <w:numFmt w:val="lowerLetter"/>
      <w:lvlText w:val="%8."/>
      <w:lvlJc w:val="left"/>
      <w:pPr>
        <w:ind w:left="6458" w:hanging="360"/>
      </w:pPr>
    </w:lvl>
    <w:lvl w:ilvl="8" w:tplc="D59A176E">
      <w:start w:val="1"/>
      <w:numFmt w:val="lowerRoman"/>
      <w:lvlText w:val="%9."/>
      <w:lvlJc w:val="right"/>
      <w:pPr>
        <w:ind w:left="7178" w:hanging="180"/>
      </w:pPr>
    </w:lvl>
  </w:abstractNum>
  <w:abstractNum w:abstractNumId="2" w15:restartNumberingAfterBreak="0">
    <w:nsid w:val="43363F6B"/>
    <w:multiLevelType w:val="hybridMultilevel"/>
    <w:tmpl w:val="00000000"/>
    <w:lvl w:ilvl="0" w:tplc="D6620C80">
      <w:start w:val="1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D0643604">
      <w:start w:val="1"/>
      <w:numFmt w:val="lowerLetter"/>
      <w:lvlText w:val="%2."/>
      <w:lvlJc w:val="left"/>
      <w:pPr>
        <w:ind w:left="2148" w:hanging="360"/>
      </w:pPr>
    </w:lvl>
    <w:lvl w:ilvl="2" w:tplc="BC442ED0">
      <w:start w:val="1"/>
      <w:numFmt w:val="lowerRoman"/>
      <w:lvlText w:val="%3."/>
      <w:lvlJc w:val="right"/>
      <w:pPr>
        <w:ind w:left="2868" w:hanging="180"/>
      </w:pPr>
    </w:lvl>
    <w:lvl w:ilvl="3" w:tplc="37EA7E9C">
      <w:start w:val="1"/>
      <w:numFmt w:val="decimal"/>
      <w:lvlText w:val="%4."/>
      <w:lvlJc w:val="left"/>
      <w:pPr>
        <w:ind w:left="3588" w:hanging="360"/>
      </w:pPr>
    </w:lvl>
    <w:lvl w:ilvl="4" w:tplc="B0A2B92C">
      <w:start w:val="1"/>
      <w:numFmt w:val="lowerLetter"/>
      <w:lvlText w:val="%5."/>
      <w:lvlJc w:val="left"/>
      <w:pPr>
        <w:ind w:left="4308" w:hanging="360"/>
      </w:pPr>
    </w:lvl>
    <w:lvl w:ilvl="5" w:tplc="7B1A28BA">
      <w:start w:val="1"/>
      <w:numFmt w:val="lowerRoman"/>
      <w:lvlText w:val="%6."/>
      <w:lvlJc w:val="right"/>
      <w:pPr>
        <w:ind w:left="5028" w:hanging="180"/>
      </w:pPr>
    </w:lvl>
    <w:lvl w:ilvl="6" w:tplc="EAB2751C">
      <w:start w:val="1"/>
      <w:numFmt w:val="decimal"/>
      <w:lvlText w:val="%7."/>
      <w:lvlJc w:val="left"/>
      <w:pPr>
        <w:ind w:left="5748" w:hanging="360"/>
      </w:pPr>
    </w:lvl>
    <w:lvl w:ilvl="7" w:tplc="24F4F9EA">
      <w:start w:val="1"/>
      <w:numFmt w:val="lowerLetter"/>
      <w:lvlText w:val="%8."/>
      <w:lvlJc w:val="left"/>
      <w:pPr>
        <w:ind w:left="6468" w:hanging="360"/>
      </w:pPr>
    </w:lvl>
    <w:lvl w:ilvl="8" w:tplc="31BE9888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8518E9C"/>
    <w:multiLevelType w:val="hybridMultilevel"/>
    <w:tmpl w:val="00000000"/>
    <w:lvl w:ilvl="0" w:tplc="4F328B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B245B78">
      <w:start w:val="1"/>
      <w:numFmt w:val="lowerLetter"/>
      <w:lvlText w:val="%2."/>
      <w:lvlJc w:val="left"/>
      <w:pPr>
        <w:ind w:left="1789" w:hanging="360"/>
      </w:pPr>
    </w:lvl>
    <w:lvl w:ilvl="2" w:tplc="7AACA13A">
      <w:start w:val="1"/>
      <w:numFmt w:val="lowerRoman"/>
      <w:lvlText w:val="%3."/>
      <w:lvlJc w:val="right"/>
      <w:pPr>
        <w:ind w:left="2509" w:hanging="180"/>
      </w:pPr>
    </w:lvl>
    <w:lvl w:ilvl="3" w:tplc="D8966ED4">
      <w:start w:val="1"/>
      <w:numFmt w:val="decimal"/>
      <w:lvlText w:val="%4."/>
      <w:lvlJc w:val="left"/>
      <w:pPr>
        <w:ind w:left="3229" w:hanging="360"/>
      </w:pPr>
    </w:lvl>
    <w:lvl w:ilvl="4" w:tplc="45A0A234">
      <w:start w:val="1"/>
      <w:numFmt w:val="lowerLetter"/>
      <w:lvlText w:val="%5."/>
      <w:lvlJc w:val="left"/>
      <w:pPr>
        <w:ind w:left="3949" w:hanging="360"/>
      </w:pPr>
    </w:lvl>
    <w:lvl w:ilvl="5" w:tplc="2E9C65DA">
      <w:start w:val="1"/>
      <w:numFmt w:val="lowerRoman"/>
      <w:lvlText w:val="%6."/>
      <w:lvlJc w:val="right"/>
      <w:pPr>
        <w:ind w:left="4669" w:hanging="180"/>
      </w:pPr>
    </w:lvl>
    <w:lvl w:ilvl="6" w:tplc="EFF2A802">
      <w:start w:val="1"/>
      <w:numFmt w:val="decimal"/>
      <w:lvlText w:val="%7."/>
      <w:lvlJc w:val="left"/>
      <w:pPr>
        <w:ind w:left="5389" w:hanging="360"/>
      </w:pPr>
    </w:lvl>
    <w:lvl w:ilvl="7" w:tplc="EF52CA8A">
      <w:start w:val="1"/>
      <w:numFmt w:val="lowerLetter"/>
      <w:lvlText w:val="%8."/>
      <w:lvlJc w:val="left"/>
      <w:pPr>
        <w:ind w:left="6109" w:hanging="360"/>
      </w:pPr>
    </w:lvl>
    <w:lvl w:ilvl="8" w:tplc="B4F81AD0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76E13B"/>
    <w:multiLevelType w:val="hybridMultilevel"/>
    <w:tmpl w:val="00000000"/>
    <w:lvl w:ilvl="0" w:tplc="B8D66A8C">
      <w:start w:val="1"/>
      <w:numFmt w:val="russianLower"/>
      <w:lvlText w:val="%1)"/>
      <w:lvlJc w:val="left"/>
      <w:pPr>
        <w:ind w:left="1789" w:hanging="360"/>
      </w:pPr>
      <w:rPr>
        <w:rFonts w:hint="default"/>
      </w:rPr>
    </w:lvl>
    <w:lvl w:ilvl="1" w:tplc="1C70731A">
      <w:start w:val="1"/>
      <w:numFmt w:val="lowerLetter"/>
      <w:lvlText w:val="%2."/>
      <w:lvlJc w:val="left"/>
      <w:pPr>
        <w:ind w:left="2509" w:hanging="360"/>
      </w:pPr>
    </w:lvl>
    <w:lvl w:ilvl="2" w:tplc="2B4C7ECC">
      <w:start w:val="1"/>
      <w:numFmt w:val="lowerRoman"/>
      <w:lvlText w:val="%3."/>
      <w:lvlJc w:val="right"/>
      <w:pPr>
        <w:ind w:left="3229" w:hanging="180"/>
      </w:pPr>
    </w:lvl>
    <w:lvl w:ilvl="3" w:tplc="D688CEDC">
      <w:start w:val="1"/>
      <w:numFmt w:val="decimal"/>
      <w:lvlText w:val="%4."/>
      <w:lvlJc w:val="left"/>
      <w:pPr>
        <w:ind w:left="3949" w:hanging="360"/>
      </w:pPr>
    </w:lvl>
    <w:lvl w:ilvl="4" w:tplc="74BCF50A">
      <w:start w:val="1"/>
      <w:numFmt w:val="lowerLetter"/>
      <w:lvlText w:val="%5."/>
      <w:lvlJc w:val="left"/>
      <w:pPr>
        <w:ind w:left="4669" w:hanging="360"/>
      </w:pPr>
    </w:lvl>
    <w:lvl w:ilvl="5" w:tplc="4B849112">
      <w:start w:val="1"/>
      <w:numFmt w:val="lowerRoman"/>
      <w:lvlText w:val="%6."/>
      <w:lvlJc w:val="right"/>
      <w:pPr>
        <w:ind w:left="5389" w:hanging="180"/>
      </w:pPr>
    </w:lvl>
    <w:lvl w:ilvl="6" w:tplc="FE9A21A8">
      <w:start w:val="1"/>
      <w:numFmt w:val="decimal"/>
      <w:lvlText w:val="%7."/>
      <w:lvlJc w:val="left"/>
      <w:pPr>
        <w:ind w:left="6109" w:hanging="360"/>
      </w:pPr>
    </w:lvl>
    <w:lvl w:ilvl="7" w:tplc="70A4BE08">
      <w:start w:val="1"/>
      <w:numFmt w:val="lowerLetter"/>
      <w:lvlText w:val="%8."/>
      <w:lvlJc w:val="left"/>
      <w:pPr>
        <w:ind w:left="6829" w:hanging="360"/>
      </w:pPr>
    </w:lvl>
    <w:lvl w:ilvl="8" w:tplc="D2826FAA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5CFE73EB"/>
    <w:multiLevelType w:val="hybridMultilevel"/>
    <w:tmpl w:val="00000000"/>
    <w:lvl w:ilvl="0" w:tplc="3CD4E3C0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B838DE30">
      <w:start w:val="1"/>
      <w:numFmt w:val="lowerLetter"/>
      <w:lvlText w:val="%2."/>
      <w:lvlJc w:val="left"/>
      <w:pPr>
        <w:ind w:left="1789" w:hanging="360"/>
      </w:pPr>
    </w:lvl>
    <w:lvl w:ilvl="2" w:tplc="73562332">
      <w:start w:val="1"/>
      <w:numFmt w:val="lowerRoman"/>
      <w:lvlText w:val="%3."/>
      <w:lvlJc w:val="right"/>
      <w:pPr>
        <w:ind w:left="2509" w:hanging="180"/>
      </w:pPr>
    </w:lvl>
    <w:lvl w:ilvl="3" w:tplc="A5F2DA50">
      <w:start w:val="1"/>
      <w:numFmt w:val="decimal"/>
      <w:lvlText w:val="%4."/>
      <w:lvlJc w:val="left"/>
      <w:pPr>
        <w:ind w:left="3229" w:hanging="360"/>
      </w:pPr>
    </w:lvl>
    <w:lvl w:ilvl="4" w:tplc="C79C379E">
      <w:start w:val="1"/>
      <w:numFmt w:val="lowerLetter"/>
      <w:lvlText w:val="%5."/>
      <w:lvlJc w:val="left"/>
      <w:pPr>
        <w:ind w:left="3949" w:hanging="360"/>
      </w:pPr>
    </w:lvl>
    <w:lvl w:ilvl="5" w:tplc="F4B8FCE4">
      <w:start w:val="1"/>
      <w:numFmt w:val="lowerRoman"/>
      <w:lvlText w:val="%6."/>
      <w:lvlJc w:val="right"/>
      <w:pPr>
        <w:ind w:left="4669" w:hanging="180"/>
      </w:pPr>
    </w:lvl>
    <w:lvl w:ilvl="6" w:tplc="4E488CAE">
      <w:start w:val="1"/>
      <w:numFmt w:val="decimal"/>
      <w:lvlText w:val="%7."/>
      <w:lvlJc w:val="left"/>
      <w:pPr>
        <w:ind w:left="5389" w:hanging="360"/>
      </w:pPr>
    </w:lvl>
    <w:lvl w:ilvl="7" w:tplc="72E2E492">
      <w:start w:val="1"/>
      <w:numFmt w:val="lowerLetter"/>
      <w:lvlText w:val="%8."/>
      <w:lvlJc w:val="left"/>
      <w:pPr>
        <w:ind w:left="6109" w:hanging="360"/>
      </w:pPr>
    </w:lvl>
    <w:lvl w:ilvl="8" w:tplc="4D24EF96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B8CE90"/>
    <w:multiLevelType w:val="hybridMultilevel"/>
    <w:tmpl w:val="00000000"/>
    <w:lvl w:ilvl="0" w:tplc="89C6E4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3A674A2">
      <w:start w:val="1"/>
      <w:numFmt w:val="lowerLetter"/>
      <w:lvlText w:val="%2."/>
      <w:lvlJc w:val="left"/>
      <w:pPr>
        <w:ind w:left="1789" w:hanging="360"/>
      </w:pPr>
    </w:lvl>
    <w:lvl w:ilvl="2" w:tplc="F1EECAC6">
      <w:start w:val="1"/>
      <w:numFmt w:val="lowerRoman"/>
      <w:lvlText w:val="%3."/>
      <w:lvlJc w:val="right"/>
      <w:pPr>
        <w:ind w:left="2509" w:hanging="180"/>
      </w:pPr>
    </w:lvl>
    <w:lvl w:ilvl="3" w:tplc="A00C912A">
      <w:start w:val="1"/>
      <w:numFmt w:val="decimal"/>
      <w:lvlText w:val="%4."/>
      <w:lvlJc w:val="left"/>
      <w:pPr>
        <w:ind w:left="3229" w:hanging="360"/>
      </w:pPr>
    </w:lvl>
    <w:lvl w:ilvl="4" w:tplc="5C5CBFDC">
      <w:start w:val="1"/>
      <w:numFmt w:val="lowerLetter"/>
      <w:lvlText w:val="%5."/>
      <w:lvlJc w:val="left"/>
      <w:pPr>
        <w:ind w:left="3949" w:hanging="360"/>
      </w:pPr>
    </w:lvl>
    <w:lvl w:ilvl="5" w:tplc="E1F880BA">
      <w:start w:val="1"/>
      <w:numFmt w:val="lowerRoman"/>
      <w:lvlText w:val="%6."/>
      <w:lvlJc w:val="right"/>
      <w:pPr>
        <w:ind w:left="4669" w:hanging="180"/>
      </w:pPr>
    </w:lvl>
    <w:lvl w:ilvl="6" w:tplc="E9026F62">
      <w:start w:val="1"/>
      <w:numFmt w:val="decimal"/>
      <w:lvlText w:val="%7."/>
      <w:lvlJc w:val="left"/>
      <w:pPr>
        <w:ind w:left="5389" w:hanging="360"/>
      </w:pPr>
    </w:lvl>
    <w:lvl w:ilvl="7" w:tplc="9D485C78">
      <w:start w:val="1"/>
      <w:numFmt w:val="lowerLetter"/>
      <w:lvlText w:val="%8."/>
      <w:lvlJc w:val="left"/>
      <w:pPr>
        <w:ind w:left="6109" w:hanging="360"/>
      </w:pPr>
    </w:lvl>
    <w:lvl w:ilvl="8" w:tplc="FFAC0F6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9D"/>
    <w:rsid w:val="0005131D"/>
    <w:rsid w:val="002C129D"/>
    <w:rsid w:val="00D1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921632-F43A-4DA9-9F58-234C7FF3A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highlightsearch">
    <w:name w:val="highlightsearch"/>
    <w:basedOn w:val="a0"/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lang w:eastAsia="en-US" w:bidi="en-US"/>
    </w:rPr>
  </w:style>
  <w:style w:type="paragraph" w:styleId="aff8">
    <w:name w:val="Revision"/>
    <w:hidden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03858&amp;dst=100071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03858&amp;dst=100053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03858&amp;dst=10005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BobolevaVV\Desktop\&#1052;&#1072;&#1090;&#1074;&#1077;&#1077;&#1074;%20&#1042;.&#1042;\&#1059;&#1083;&#1091;&#1095;&#1096;&#1077;&#1085;&#1080;&#1077;%20&#1085;&#1086;&#1088;&#1084;&#1072;&#1090;&#1080;&#1074;&#1082;&#1080;\www.torgi.gov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file:///C:\Users\KornevaLE\AppData\Local\Temp\WebAccessAgentCache\RX\tomskg\kornevale\temp\dugs.tomsk.gov.ru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13EE5E4-EA95-4875-926D-8E5409176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1715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Корнева Лариса Евгеньевна</cp:lastModifiedBy>
  <cp:revision>3</cp:revision>
  <dcterms:created xsi:type="dcterms:W3CDTF">2025-11-27T08:33:00Z</dcterms:created>
  <dcterms:modified xsi:type="dcterms:W3CDTF">2025-11-27T08:33:00Z</dcterms:modified>
</cp:coreProperties>
</file>