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883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РегДанные"/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17.08.2026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  <w:r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883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83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25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  <w:r/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</w:p>
        </w:tc>
      </w:tr>
    </w:tbl>
    <w:p>
      <w:pPr>
        <w:pStyle w:val="890"/>
        <w:jc w:val="center"/>
        <w:spacing w:before="48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по управлению государственной собственностью Томской области от 01.07.2016 №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49</w:t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890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890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89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 </w:t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89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89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Внести в приказ Департамента по управлению государственной собственностью Томской </w:t>
      </w:r>
      <w:r>
        <w:rPr>
          <w:rFonts w:ascii="PT Astra Serif" w:hAnsi="PT Astra Serif" w:cs="Times New Roman"/>
          <w:sz w:val="28"/>
          <w:szCs w:val="28"/>
        </w:rPr>
        <w:t xml:space="preserve">области от 01.07.2016 № 49 «О противодействии коррупции в Департаменте по управлению государственной собственностью Томской области» (Официальный интернет-портал «Электронная Администрация Томской области» www.tomsk.gov.ru, 01.07.2016) следующие изменения:</w:t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89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1) в абзаце пятом пункта 1 слова «расходах,» исключить;</w:t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89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2) в абзаце четвертом состава комиссии по </w:t>
      </w:r>
      <w:r>
        <w:rPr>
          <w:rFonts w:ascii="PT Astra Serif" w:hAnsi="PT Astra Serif" w:cs="Times New Roman"/>
          <w:sz w:val="28"/>
          <w:szCs w:val="28"/>
        </w:rPr>
        <w:t xml:space="preserve">соблюдению требований к служебному поведению государственных гражданских служащих и урегулированию конфликта интересов, утвержденного указанным приказом (приложение 1), слова «Администрации Томской области» заменить словами «Правительства Томской области»;</w:t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89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3) Порядок предоставления сведений о доходах, расходах, об имуществе и обязательствах имущественного характера, утвержденный указанным приказом (приложение 4) изложить в новой редакции согласно приложению к настоящему приказу.</w:t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89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89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89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tbl>
      <w:tblPr>
        <w:tblW w:w="9707" w:type="dxa"/>
        <w:tblLook w:val="04A0" w:firstRow="1" w:lastRow="0" w:firstColumn="1" w:lastColumn="0" w:noHBand="0" w:noVBand="1"/>
      </w:tblPr>
      <w:tblGrid>
        <w:gridCol w:w="3264"/>
        <w:gridCol w:w="3131"/>
        <w:gridCol w:w="3312"/>
      </w:tblGrid>
      <w:tr>
        <w:trPr>
          <w:trHeight w:val="503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264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31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bookmarkEnd w:id="2"/>
            <w:r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12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Т.А. Исакова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  <w:lang w:val="en-US"/>
        </w:rPr>
        <w:pBdr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  <w:lang w:val="en-US"/>
        </w:rPr>
        <w:pBdr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</w:p>
    <w:p>
      <w:pPr>
        <w:rPr>
          <w:rFonts w:ascii="PT Astra Serif" w:hAnsi="PT Astra Serif" w:eastAsia="PT Astra Serif" w:cs="PT Astra Serif"/>
          <w:sz w:val="26"/>
          <w:szCs w:val="26"/>
          <w:lang w:val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6"/>
          <w:szCs w:val="26"/>
          <w:lang w:val="en-US"/>
        </w:rPr>
        <w:br w:type="page" w:clear="all"/>
      </w: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</w:p>
    <w:p>
      <w:pPr>
        <w:ind w:left="5528"/>
        <w:tabs>
          <w:tab w:val="left" w:pos="283" w:leader="none"/>
        </w:tabs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Приложение </w:t>
      </w:r>
      <w:r>
        <w:rPr>
          <w:sz w:val="28"/>
          <w:szCs w:val="28"/>
        </w:rPr>
      </w:r>
    </w:p>
    <w:p>
      <w:pPr>
        <w:ind w:left="5528"/>
        <w:tabs>
          <w:tab w:val="left" w:pos="28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 приказу Департамента по управлению государственной собственностью Томской области </w:t>
      </w:r>
      <w:r>
        <w:rPr>
          <w:rFonts w:ascii="PT Astra Serif" w:hAnsi="PT Astra Serif"/>
          <w:sz w:val="28"/>
          <w:szCs w:val="28"/>
        </w:rPr>
      </w:r>
    </w:p>
    <w:p>
      <w:pPr>
        <w:ind w:left="5528"/>
        <w:tabs>
          <w:tab w:val="left" w:pos="283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17.08.2026</w:t>
      </w:r>
      <w:r>
        <w:rPr>
          <w:rFonts w:ascii="PT Astra Serif" w:hAnsi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hAnsi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hAnsi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hAnsi="PT Astra Serif"/>
          <w:color w:val="000000" w:themeColor="text1"/>
          <w:sz w:val="28"/>
          <w:szCs w:val="28"/>
        </w:rPr>
        <w:fldChar w:fldCharType="end"/>
      </w:r>
      <w:r>
        <w:rPr>
          <w:rFonts w:ascii="PT Astra Serif" w:hAnsi="PT Astra Serif"/>
          <w:sz w:val="28"/>
          <w:szCs w:val="28"/>
        </w:rPr>
        <w:t xml:space="preserve">   </w:t>
      </w:r>
      <w:r>
        <w:rPr>
          <w:rFonts w:ascii="PT Astra Serif" w:hAnsi="PT Astra Serif"/>
          <w:sz w:val="28"/>
          <w:szCs w:val="28"/>
        </w:rPr>
        <w:t xml:space="preserve">   № </w:t>
      </w:r>
      <w:bookmarkStart w:id="3" w:name="_GoBack"/>
      <w:r>
        <w:rPr>
          <w:rFonts w:ascii="PT Astra Serif" w:hAnsi="PT Astra Serif"/>
          <w:color w:val="000000" w:themeColor="text1"/>
          <w:sz w:val="28"/>
          <w:szCs w:val="28"/>
        </w:rPr>
        <w:t xml:space="preserve">25</w:t>
      </w:r>
      <w:r>
        <w:rPr>
          <w:rFonts w:ascii="PT Astra Serif" w:hAnsi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hAnsi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hAnsi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hAnsi="PT Astra Serif"/>
          <w:color w:val="000000" w:themeColor="text1"/>
          <w:sz w:val="28"/>
          <w:szCs w:val="28"/>
        </w:rPr>
        <w:fldChar w:fldCharType="end"/>
      </w:r>
      <w:bookmarkEnd w:id="3"/>
      <w:r/>
      <w:r>
        <w:rPr>
          <w:rFonts w:ascii="PT Astra Serif" w:hAnsi="PT Astra Serif"/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Порядок</w:t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предоставления сведений о доходах, об имуществе и обязательствах имущественного характера</w:t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Настоящий Порядок определяет процедуру представления гражданами, претендующими на замещение должностей государственной гражданской службы Т</w:t>
      </w:r>
      <w:r>
        <w:rPr>
          <w:rFonts w:ascii="PT Astra Serif" w:hAnsi="PT Astra Serif"/>
          <w:sz w:val="28"/>
          <w:szCs w:val="28"/>
        </w:rPr>
        <w:t xml:space="preserve">омской области при поступлении на государственную гражданскую службу Томской области в Департаменте по управлению государственной собственностью Томской области (далее - Департамент), государственными гражданскими служащими Томской области, проходящими слу</w:t>
      </w:r>
      <w:r>
        <w:rPr>
          <w:rFonts w:ascii="PT Astra Serif" w:hAnsi="PT Astra Serif"/>
          <w:sz w:val="28"/>
          <w:szCs w:val="28"/>
        </w:rPr>
        <w:t xml:space="preserve">жбу в Департаменте, сведений о доходах, об имуществе и обязательствах имущественного характера, предусмотренных частью 1 статьи 8 Федерального закона от 25 декабря 2008 года № 273-ФЗ (далее - сведения о доходах, об имуществе и обязательствах имущественного</w:t>
      </w:r>
      <w:r>
        <w:rPr>
          <w:rFonts w:ascii="PT Astra Serif" w:hAnsi="PT Astra Serif"/>
          <w:sz w:val="28"/>
          <w:szCs w:val="28"/>
        </w:rPr>
        <w:t xml:space="preserve"> характера), а также процедуру представления государственными гражданскими служащими Томской области, проходящими службу в Департаменте, сведений о своих расходах, о расходах своих супруги (супруга) и несовершеннолетних детей (далее - сведения о расходах).</w:t>
      </w:r>
      <w:r>
        <w:rPr>
          <w:rFonts w:ascii="PT Astra Serif" w:hAnsi="PT Astra Serif"/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Обязанность представлять сведения о доходах, об имуществе и обязательствах имущественного характера в соответствии с законодательством возлагается:</w:t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а) на гражданина, претендующего на замещение должности государственной гражданской службы Томской области (далее - гражданин);</w:t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б) на государственного гражданского служащего Томской обла</w:t>
      </w:r>
      <w:r>
        <w:rPr>
          <w:rFonts w:ascii="PT Astra Serif" w:hAnsi="PT Astra Serif"/>
          <w:sz w:val="28"/>
          <w:szCs w:val="28"/>
        </w:rPr>
        <w:t xml:space="preserve">сти, проходящего службу в Департаменте, замещающего должность государственной гражданской службы Томской области, предусмотренную перечнем должностей согласно приложению 9 к настоящему Порядку (далее - государственный гражданский служащий Томской области);</w:t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в) на государственного гражданского служащего, замещающего должность государственной гражданской службы Томской области, назна</w:t>
      </w:r>
      <w:r>
        <w:rPr>
          <w:rFonts w:ascii="PT Astra Serif" w:hAnsi="PT Astra Serif"/>
          <w:sz w:val="28"/>
          <w:szCs w:val="28"/>
        </w:rPr>
        <w:t xml:space="preserve">чаемого на должность государственной гражданской службы Томской области в Департаменте в порядке перевода из другого государственного органа (далее - кандидат на должность государственной гражданской службы Томской области, назначаемый в порядке перевода).</w:t>
      </w:r>
      <w:r>
        <w:rPr>
          <w:sz w:val="28"/>
          <w:szCs w:val="28"/>
        </w:rPr>
      </w:r>
    </w:p>
    <w:p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Обязанность представлять сведения о расходах возлагается на государственного гражданского служащего Томской области при возникновении оснований, предусмотренных частью 1 статьи 3 Федерального закона от 3 декабря 2012 года № 230-ФЗ.</w:t>
      </w:r>
      <w:r>
        <w:rPr>
          <w:rFonts w:ascii="PT Astra Serif" w:hAnsi="PT Astra Serif"/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 Сведения, указанные в пункте 1 настоящего Порядка, граждане, государственные гражданские служащие Томской области, кандидаты на должность государственной гражданской службы Томской области, назна</w:t>
      </w:r>
      <w:r>
        <w:rPr>
          <w:rFonts w:ascii="PT Astra Serif" w:hAnsi="PT Astra Serif"/>
          <w:sz w:val="28"/>
          <w:szCs w:val="28"/>
        </w:rPr>
        <w:t xml:space="preserve">чаемый в порядке перевода, представляют в комитет документационно-кадровой работы Департамента (далее - Комитет) в соответствии с пунктами 4 - 5 приложения № 4 к Закону Томской области от 9 декабря 2005 года № 231-ОЗ «О государственной гражданской службе Т</w:t>
      </w:r>
      <w:r>
        <w:rPr>
          <w:rFonts w:ascii="PT Astra Serif" w:hAnsi="PT Astra Serif"/>
          <w:sz w:val="28"/>
          <w:szCs w:val="28"/>
        </w:rPr>
        <w:t xml:space="preserve">омской области» (далее - приложение 4 к Закону Томской области) по форме справки, утвержденной Указом Президента Российской Федерации от 23.06.2014 № 460 «Об утверждении формы справки о доходах, расходах, об имуществе и обязательствах имущественного характ</w:t>
      </w:r>
      <w:r>
        <w:rPr>
          <w:rFonts w:ascii="PT Astra Serif" w:hAnsi="PT Astra Serif"/>
          <w:sz w:val="28"/>
          <w:szCs w:val="28"/>
        </w:rPr>
        <w:t xml:space="preserve">ера и внесении изменений в некоторые акты Президента Российской Федерации», заполненной с использованием специального программного обеспечения «Справки БК», размещенного на официальном сайте Президента Российской Федерации, ссылка на который также размещае</w:t>
      </w:r>
      <w:r>
        <w:rPr>
          <w:rFonts w:ascii="PT Astra Serif" w:hAnsi="PT Astra Serif"/>
          <w:sz w:val="28"/>
          <w:szCs w:val="28"/>
        </w:rPr>
        <w:t xml:space="preserve">тся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«Интернет» (далее - справка о доходах, расходах, об имуществе и обязательствах имущественного характера).</w:t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 В случае, указанном в пункте 8 приложения 4 к Закону Томской области, гражданин или государственный гражданский представляет уточненные сведения.</w:t>
      </w:r>
      <w:r>
        <w:rPr>
          <w:sz w:val="28"/>
          <w:szCs w:val="28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 </w:t>
      </w:r>
      <w:r>
        <w:rPr>
          <w:rFonts w:ascii="PT Astra Serif" w:hAnsi="PT Astra Serif"/>
          <w:sz w:val="28"/>
          <w:szCs w:val="28"/>
        </w:rPr>
        <w:t xml:space="preserve">В случае, указанном в пункте 13 приложения 4 к Закону Томской области, представленные справки о доходах, расходах, об имуществе и обязательствах имущественного характера возвращаются Комитетом гражданину, кандидату на должность государственной гражданской </w:t>
      </w:r>
      <w:r>
        <w:rPr>
          <w:rFonts w:ascii="PT Astra Serif" w:hAnsi="PT Astra Serif"/>
          <w:sz w:val="28"/>
          <w:szCs w:val="28"/>
        </w:rPr>
        <w:t xml:space="preserve">службы Томской области, назначаемому в порядке перевода, по письменному заявлению вместе с другими документами лично или направляются по почте заказным письмом (способ определяется в заявлении) в срок не позднее 3 рабочих дней со дня поступления заявления.</w:t>
      </w:r>
      <w:r>
        <w:rPr>
          <w:sz w:val="28"/>
          <w:szCs w:val="28"/>
        </w:rPr>
      </w:r>
    </w:p>
    <w:p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7. Организационно-техническое обеспечение мероприятий, реализуемых в соответствии с настоящим Порядком, осуществляет Комитет.</w:t>
      </w:r>
      <w:r>
        <w:rPr>
          <w:rFonts w:ascii="PT Astra Serif" w:hAnsi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/>
          <w:sz w:val="18"/>
          <w:szCs w:val="18"/>
        </w:rPr>
        <w:pBdr>
          <w:right w:val="none" w:color="000000" w:sz="4" w:space="0"/>
        </w:pBd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/>
          <w:sz w:val="18"/>
          <w:szCs w:val="18"/>
        </w:rPr>
        <w:pBdr>
          <w:right w:val="none" w:color="000000" w:sz="4" w:space="0"/>
        </w:pBd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18"/>
          <w:szCs w:val="18"/>
        </w:rPr>
        <w:fldChar w:fldCharType="begin"/>
      </w:r>
      <w:r>
        <w:rPr>
          <w:rFonts w:ascii="PT Astra Serif" w:hAnsi="PT Astra Serif" w:eastAsia="PT Astra Serif" w:cs="PT Astra Serif"/>
          <w:sz w:val="18"/>
          <w:szCs w:val="18"/>
        </w:rPr>
        <w:instrText xml:space="preserve"> FILENAME </w:instrText>
      </w:r>
      <w:r>
        <w:rPr>
          <w:rFonts w:ascii="PT Astra Serif" w:hAnsi="PT Astra Serif" w:eastAsia="PT Astra Serif" w:cs="PT Astra Serif"/>
          <w:sz w:val="18"/>
          <w:szCs w:val="18"/>
        </w:rPr>
        <w:fldChar w:fldCharType="separate"/>
      </w:r>
      <w:r>
        <w:rPr>
          <w:rFonts w:ascii="PT Astra Serif" w:hAnsi="PT Astra Serif"/>
          <w:sz w:val="18"/>
          <w:szCs w:val="18"/>
        </w:rPr>
        <w:t xml:space="preserve"> </w:t>
      </w:r>
      <w:r>
        <w:rPr>
          <w:rFonts w:ascii="PT Astra Serif" w:hAnsi="PT Astra Serif" w:eastAsia="PT Astra Serif" w:cs="PT Astra Serif"/>
          <w:sz w:val="18"/>
          <w:szCs w:val="18"/>
        </w:rPr>
        <w:fldChar w:fldCharType="end"/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sectPr>
      <w:headerReference w:type="default" r:id="rId8"/>
      <w:headerReference w:type="first" r:id="rId9"/>
      <w:footnotePr/>
      <w:endnotePr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6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 xml:space="preserve">3</w:t>
    </w:r>
    <w:r>
      <w:rPr>
        <w:rFonts w:ascii="PT Astra Serif" w:hAnsi="PT Astra Serif"/>
        <w:sz w:val="24"/>
        <w:szCs w:val="24"/>
      </w:rPr>
      <w:fldChar w:fldCharType="end"/>
    </w:r>
    <w:r>
      <w:rPr>
        <w:rFonts w:ascii="PT Astra Serif" w:hAnsi="PT Astra Serif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 w:line="240" w:lineRule="auto"/>
      <w:rPr>
        <w:rFonts w:ascii="PT Astra Serif" w:hAnsi="PT Astra Serif" w:eastAsia="PT Astra Serif" w:cs="PT Astra Serif"/>
        <w:b/>
        <w:bCs/>
        <w:sz w:val="28"/>
        <w:szCs w:val="28"/>
      </w:rPr>
    </w:pPr>
    <w:r>
      <w:rPr>
        <w:rFonts w:ascii="PT Astra Serif" w:hAnsi="PT Astra Serif" w:eastAsia="PT Astra Serif" w:cs="PT Astra Serif"/>
        <w:b/>
        <w:bCs/>
        <w:sz w:val="28"/>
        <w:szCs w:val="28"/>
        <w:lang w:eastAsia="ru-RU" w:bidi="ar-SA"/>
      </w:rPr>
    </w:r>
    <w:r>
      <w:rPr>
        <w:rFonts w:ascii="PT Astra Serif" w:hAnsi="PT Astra Serif" w:eastAsia="PT Astra Serif" w:cs="PT Astra Serif"/>
        <w:b/>
        <w:bCs/>
        <w:sz w:val="28"/>
        <w:szCs w:val="28"/>
        <w:lang w:eastAsia="ru-RU" w:bidi="ar-SA"/>
      </w:rPr>
      <w:t xml:space="preserve">ПРИКАЗ</w:t>
    </w:r>
    <w:r>
      <w:rPr>
        <w:rFonts w:ascii="PT Astra Serif" w:hAnsi="PT Astra Serif" w:eastAsia="PT Astra Serif" w:cs="PT Astra Serif"/>
        <w:b/>
        <w:bCs/>
        <w:sz w:val="28"/>
        <w:szCs w:val="28"/>
      </w:rPr>
    </w:r>
  </w:p>
  <w:p>
    <w:pPr>
      <w:pStyle w:val="736"/>
      <w:spacing w:before="0" w:after="0" w:line="240" w:lineRule="auto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36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по управлению государственной собственностью Томской области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36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eastAsia="PT Astra Serif" w:cs="PT Astra Serif"/>
        <w:szCs w:val="28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79">
    <w:name w:val="Endnote Text Char"/>
    <w:link w:val="713"/>
    <w:uiPriority w:val="99"/>
    <w:rPr>
      <w:sz w:val="20"/>
    </w:rPr>
  </w:style>
  <w:style w:type="paragraph" w:styleId="664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665">
    <w:name w:val="Heading 1"/>
    <w:link w:val="717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666">
    <w:name w:val="Heading 2"/>
    <w:link w:val="718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667">
    <w:name w:val="Heading 3"/>
    <w:link w:val="71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668">
    <w:name w:val="Heading 4"/>
    <w:link w:val="72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669">
    <w:name w:val="Heading 5"/>
    <w:link w:val="72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670">
    <w:name w:val="Heading 6"/>
    <w:link w:val="72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671">
    <w:name w:val="Heading 7"/>
    <w:link w:val="72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672">
    <w:name w:val="Heading 8"/>
    <w:link w:val="72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673">
    <w:name w:val="Heading 9"/>
    <w:link w:val="72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Heading 1 Char"/>
    <w:basedOn w:val="674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Heading 2 Char"/>
    <w:basedOn w:val="674"/>
    <w:uiPriority w:val="9"/>
    <w:rPr>
      <w:rFonts w:ascii="Arial" w:hAnsi="Arial" w:eastAsia="Arial" w:cs="Arial"/>
      <w:sz w:val="34"/>
    </w:rPr>
  </w:style>
  <w:style w:type="character" w:styleId="679" w:customStyle="1">
    <w:name w:val="Heading 3 Char"/>
    <w:basedOn w:val="674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Heading 4 Char"/>
    <w:basedOn w:val="674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Heading 5 Char"/>
    <w:basedOn w:val="674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Heading 6 Char"/>
    <w:basedOn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Heading 7 Char"/>
    <w:basedOn w:val="67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Heading 8 Char"/>
    <w:basedOn w:val="674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Heading 9 Char"/>
    <w:basedOn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86" w:customStyle="1">
    <w:name w:val="Title Char"/>
    <w:basedOn w:val="674"/>
    <w:uiPriority w:val="10"/>
    <w:rPr>
      <w:sz w:val="48"/>
      <w:szCs w:val="48"/>
    </w:rPr>
  </w:style>
  <w:style w:type="character" w:styleId="687" w:customStyle="1">
    <w:name w:val="Subtitle Char"/>
    <w:basedOn w:val="674"/>
    <w:uiPriority w:val="11"/>
    <w:rPr>
      <w:sz w:val="24"/>
      <w:szCs w:val="24"/>
    </w:rPr>
  </w:style>
  <w:style w:type="character" w:styleId="688" w:customStyle="1">
    <w:name w:val="Quote Char"/>
    <w:uiPriority w:val="29"/>
    <w:rPr>
      <w:i/>
    </w:rPr>
  </w:style>
  <w:style w:type="character" w:styleId="689" w:customStyle="1">
    <w:name w:val="Intense Quote Char"/>
    <w:uiPriority w:val="30"/>
    <w:rPr>
      <w:i/>
    </w:rPr>
  </w:style>
  <w:style w:type="character" w:styleId="690" w:customStyle="1">
    <w:name w:val="Header Char"/>
    <w:basedOn w:val="674"/>
    <w:uiPriority w:val="99"/>
  </w:style>
  <w:style w:type="character" w:styleId="691" w:customStyle="1">
    <w:name w:val="Footer Char"/>
    <w:basedOn w:val="674"/>
    <w:uiPriority w:val="99"/>
  </w:style>
  <w:style w:type="character" w:styleId="692" w:customStyle="1">
    <w:name w:val="Caption Char"/>
    <w:uiPriority w:val="99"/>
  </w:style>
  <w:style w:type="table" w:styleId="693">
    <w:name w:val="Plain Table 1"/>
    <w:basedOn w:val="675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2"/>
    <w:basedOn w:val="675"/>
    <w:uiPriority w:val="59"/>
    <w:tblPr>
      <w:tblInd w:w="0" w:type="dxa"/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3"/>
    <w:basedOn w:val="67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67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67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675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2"/>
    <w:basedOn w:val="675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"/>
    <w:basedOn w:val="675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4"/>
    <w:basedOn w:val="675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2">
    <w:name w:val="Grid Table 5 Dark"/>
    <w:basedOn w:val="67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703">
    <w:name w:val="Grid Table 6 Colorful"/>
    <w:basedOn w:val="675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04">
    <w:name w:val="Grid Table 7 Colorful"/>
    <w:basedOn w:val="675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List Table 1 Light"/>
    <w:basedOn w:val="67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List Table 2"/>
    <w:basedOn w:val="675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07">
    <w:name w:val="List Table 3"/>
    <w:basedOn w:val="675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List Table 4"/>
    <w:basedOn w:val="675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List Table 5 Dark"/>
    <w:basedOn w:val="675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10">
    <w:name w:val="List Table 6 Colorful"/>
    <w:basedOn w:val="675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11">
    <w:name w:val="List Table 7 Colorful"/>
    <w:basedOn w:val="675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12" w:customStyle="1">
    <w:name w:val="Footnote Text Char"/>
    <w:uiPriority w:val="99"/>
    <w:rPr>
      <w:sz w:val="18"/>
    </w:rPr>
  </w:style>
  <w:style w:type="paragraph" w:styleId="713">
    <w:name w:val="endnote text"/>
    <w:basedOn w:val="664"/>
    <w:link w:val="714"/>
    <w:uiPriority w:val="99"/>
    <w:semiHidden/>
    <w:unhideWhenUsed/>
    <w:rPr>
      <w:sz w:val="20"/>
    </w:rPr>
  </w:style>
  <w:style w:type="character" w:styleId="714" w:customStyle="1">
    <w:name w:val="Текст концевой сноски Знак"/>
    <w:link w:val="713"/>
    <w:uiPriority w:val="99"/>
    <w:rPr>
      <w:sz w:val="20"/>
    </w:rPr>
  </w:style>
  <w:style w:type="character" w:styleId="715">
    <w:name w:val="endnote reference"/>
    <w:basedOn w:val="674"/>
    <w:uiPriority w:val="99"/>
    <w:semiHidden/>
    <w:unhideWhenUsed/>
    <w:rPr>
      <w:vertAlign w:val="superscript"/>
    </w:rPr>
  </w:style>
  <w:style w:type="paragraph" w:styleId="716">
    <w:name w:val="table of figures"/>
    <w:basedOn w:val="664"/>
    <w:next w:val="664"/>
    <w:uiPriority w:val="99"/>
    <w:unhideWhenUsed/>
  </w:style>
  <w:style w:type="character" w:styleId="717" w:customStyle="1">
    <w:name w:val="Заголовок 1 Знак"/>
    <w:link w:val="665"/>
    <w:uiPriority w:val="9"/>
    <w:rPr>
      <w:rFonts w:ascii="Arial" w:hAnsi="Arial" w:eastAsia="Arial"/>
      <w:sz w:val="40"/>
      <w:szCs w:val="40"/>
      <w:lang w:bidi="ar-SA"/>
    </w:rPr>
  </w:style>
  <w:style w:type="character" w:styleId="718" w:customStyle="1">
    <w:name w:val="Заголовок 2 Знак"/>
    <w:link w:val="666"/>
    <w:uiPriority w:val="9"/>
    <w:rPr>
      <w:rFonts w:ascii="Arial" w:hAnsi="Arial" w:eastAsia="Arial"/>
      <w:sz w:val="34"/>
      <w:lang w:bidi="ar-SA"/>
    </w:rPr>
  </w:style>
  <w:style w:type="character" w:styleId="719" w:customStyle="1">
    <w:name w:val="Заголовок 3 Знак"/>
    <w:link w:val="667"/>
    <w:uiPriority w:val="9"/>
    <w:rPr>
      <w:rFonts w:ascii="Arial" w:hAnsi="Arial" w:eastAsia="Arial"/>
      <w:sz w:val="30"/>
      <w:szCs w:val="30"/>
      <w:lang w:bidi="ar-SA"/>
    </w:rPr>
  </w:style>
  <w:style w:type="character" w:styleId="720" w:customStyle="1">
    <w:name w:val="Заголовок 4 Знак"/>
    <w:link w:val="668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21" w:customStyle="1">
    <w:name w:val="Заголовок 5 Знак"/>
    <w:link w:val="669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22" w:customStyle="1">
    <w:name w:val="Заголовок 6 Знак"/>
    <w:link w:val="670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23" w:customStyle="1">
    <w:name w:val="Заголовок 7 Знак"/>
    <w:link w:val="671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24" w:customStyle="1">
    <w:name w:val="Заголовок 8 Знак"/>
    <w:link w:val="672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25" w:customStyle="1">
    <w:name w:val="Заголовок 9 Знак"/>
    <w:link w:val="673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26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27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28">
    <w:name w:val="Title"/>
    <w:link w:val="729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29" w:customStyle="1">
    <w:name w:val="Название Знак"/>
    <w:link w:val="728"/>
    <w:uiPriority w:val="10"/>
    <w:rPr>
      <w:sz w:val="48"/>
      <w:szCs w:val="48"/>
      <w:lang w:bidi="ar-SA"/>
    </w:rPr>
  </w:style>
  <w:style w:type="paragraph" w:styleId="730">
    <w:name w:val="Subtitle"/>
    <w:link w:val="731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31" w:customStyle="1">
    <w:name w:val="Подзаголовок Знак"/>
    <w:link w:val="730"/>
    <w:uiPriority w:val="11"/>
    <w:rPr>
      <w:sz w:val="24"/>
      <w:szCs w:val="24"/>
      <w:lang w:bidi="ar-SA"/>
    </w:rPr>
  </w:style>
  <w:style w:type="paragraph" w:styleId="732">
    <w:name w:val="Quote"/>
    <w:link w:val="733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33" w:customStyle="1">
    <w:name w:val="Цитата 2 Знак"/>
    <w:link w:val="732"/>
    <w:uiPriority w:val="29"/>
    <w:rPr>
      <w:i/>
      <w:lang w:val="ru-RU" w:eastAsia="ru-RU" w:bidi="ar-SA"/>
    </w:rPr>
  </w:style>
  <w:style w:type="paragraph" w:styleId="734">
    <w:name w:val="Intense Quote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  <w:shd w:val="clear" w:color="auto" w:fill="f2f2f2"/>
      <w:lang w:val="ru-RU" w:eastAsia="ru-RU" w:bidi="ar-SA"/>
    </w:rPr>
  </w:style>
  <w:style w:type="paragraph" w:styleId="736">
    <w:name w:val="Header"/>
    <w:basedOn w:val="664"/>
    <w:link w:val="737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37" w:customStyle="1">
    <w:name w:val="Верхний колонтитул Знак"/>
    <w:link w:val="736"/>
    <w:uiPriority w:val="99"/>
  </w:style>
  <w:style w:type="paragraph" w:styleId="738">
    <w:name w:val="Footer"/>
    <w:basedOn w:val="664"/>
    <w:link w:val="739"/>
    <w:uiPriority w:val="99"/>
    <w:pPr>
      <w:tabs>
        <w:tab w:val="center" w:pos="4153" w:leader="none"/>
        <w:tab w:val="right" w:pos="8306" w:leader="none"/>
      </w:tabs>
    </w:pPr>
  </w:style>
  <w:style w:type="character" w:styleId="739" w:customStyle="1">
    <w:name w:val="Нижний колонтитул Знак"/>
    <w:link w:val="738"/>
    <w:uiPriority w:val="99"/>
  </w:style>
  <w:style w:type="table" w:styleId="740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1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2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3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66">
    <w:name w:val="Hyperlink"/>
    <w:uiPriority w:val="99"/>
    <w:unhideWhenUsed/>
    <w:rPr>
      <w:color w:val="0000ff"/>
      <w:u w:val="single"/>
    </w:rPr>
  </w:style>
  <w:style w:type="paragraph" w:styleId="867">
    <w:name w:val="footnote text"/>
    <w:link w:val="868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68" w:customStyle="1">
    <w:name w:val="Текст сноски Знак"/>
    <w:link w:val="867"/>
    <w:uiPriority w:val="99"/>
    <w:semiHidden/>
    <w:rPr>
      <w:sz w:val="18"/>
      <w:lang w:bidi="ar-SA"/>
    </w:rPr>
  </w:style>
  <w:style w:type="character" w:styleId="869">
    <w:name w:val="footnote reference"/>
    <w:uiPriority w:val="99"/>
    <w:unhideWhenUsed/>
    <w:rPr>
      <w:vertAlign w:val="superscript"/>
    </w:rPr>
  </w:style>
  <w:style w:type="paragraph" w:styleId="870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1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2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3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4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5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6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7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8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9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0">
    <w:name w:val="Body Text"/>
    <w:basedOn w:val="664"/>
    <w:next w:val="664"/>
    <w:pPr>
      <w:jc w:val="both"/>
    </w:pPr>
  </w:style>
  <w:style w:type="character" w:styleId="881">
    <w:name w:val="page number"/>
    <w:basedOn w:val="674"/>
  </w:style>
  <w:style w:type="paragraph" w:styleId="882">
    <w:name w:val="Caption"/>
    <w:basedOn w:val="664"/>
    <w:next w:val="664"/>
    <w:pPr>
      <w:jc w:val="center"/>
    </w:pPr>
    <w:rPr>
      <w:b/>
      <w:sz w:val="28"/>
    </w:rPr>
  </w:style>
  <w:style w:type="paragraph" w:styleId="883">
    <w:name w:val="Body Text 2"/>
    <w:basedOn w:val="664"/>
    <w:pPr>
      <w:ind w:right="5102"/>
      <w:jc w:val="center"/>
      <w:spacing w:before="120"/>
    </w:pPr>
  </w:style>
  <w:style w:type="paragraph" w:styleId="884" w:customStyle="1">
    <w:name w:val="Обращение"/>
    <w:basedOn w:val="664"/>
    <w:next w:val="664"/>
    <w:pPr>
      <w:jc w:val="center"/>
      <w:spacing w:before="240" w:after="120"/>
    </w:pPr>
    <w:rPr>
      <w:b/>
    </w:rPr>
  </w:style>
  <w:style w:type="paragraph" w:styleId="885" w:customStyle="1">
    <w:name w:val="Адресные реквизиты"/>
    <w:basedOn w:val="880"/>
    <w:next w:val="880"/>
    <w:pPr>
      <w:jc w:val="left"/>
    </w:pPr>
    <w:rPr>
      <w:sz w:val="16"/>
    </w:rPr>
  </w:style>
  <w:style w:type="paragraph" w:styleId="886" w:customStyle="1">
    <w:name w:val="Адресат"/>
    <w:basedOn w:val="664"/>
    <w:pPr>
      <w:spacing w:before="120"/>
    </w:pPr>
    <w:rPr>
      <w:b/>
    </w:rPr>
  </w:style>
  <w:style w:type="paragraph" w:styleId="887">
    <w:name w:val="Body Text 3"/>
    <w:basedOn w:val="664"/>
    <w:pPr>
      <w:spacing w:before="120"/>
      <w:tabs>
        <w:tab w:val="left" w:pos="7371" w:leader="none"/>
      </w:tabs>
    </w:pPr>
    <w:rPr>
      <w:sz w:val="28"/>
    </w:rPr>
  </w:style>
  <w:style w:type="paragraph" w:styleId="888">
    <w:name w:val="Balloon Text"/>
    <w:basedOn w:val="664"/>
    <w:link w:val="88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889" w:customStyle="1">
    <w:name w:val="Текст выноски Знак"/>
    <w:link w:val="888"/>
    <w:uiPriority w:val="99"/>
    <w:semiHidden/>
    <w:rPr>
      <w:rFonts w:ascii="Tahoma" w:hAnsi="Tahoma" w:cs="Tahoma"/>
      <w:sz w:val="16"/>
      <w:szCs w:val="16"/>
    </w:rPr>
  </w:style>
  <w:style w:type="paragraph" w:styleId="890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91">
    <w:name w:val="Body Text Indent"/>
    <w:basedOn w:val="664"/>
    <w:link w:val="892"/>
    <w:uiPriority w:val="99"/>
    <w:semiHidden/>
    <w:unhideWhenUsed/>
    <w:pPr>
      <w:ind w:left="283"/>
      <w:spacing w:after="120"/>
    </w:pPr>
  </w:style>
  <w:style w:type="character" w:styleId="892" w:customStyle="1">
    <w:name w:val="Основной текст с отступом Знак"/>
    <w:link w:val="89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11</cp:revision>
  <dcterms:created xsi:type="dcterms:W3CDTF">2026-08-17T01:28:00Z</dcterms:created>
  <dcterms:modified xsi:type="dcterms:W3CDTF">2026-08-17T07:57:31Z</dcterms:modified>
</cp:coreProperties>
</file>