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94E5B">
        <w:tc>
          <w:tcPr>
            <w:tcW w:w="1701" w:type="dxa"/>
            <w:tcBorders>
              <w:bottom w:val="none" w:sz="4" w:space="0" w:color="000000"/>
            </w:tcBorders>
          </w:tcPr>
          <w:p w:rsidR="00A94E5B" w:rsidRDefault="00D13173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17.08.2026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1D3890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A94E5B" w:rsidRDefault="00A94E5B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94E5B" w:rsidRDefault="00D13173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1D3890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94E5B" w:rsidRDefault="00D13173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внесений изменений в приказ Департамента по управлению государственной собственностью Томской области от 25.12.2024 № 63</w:t>
      </w:r>
    </w:p>
    <w:p w:rsidR="00A94E5B" w:rsidRDefault="00A94E5B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bookmarkStart w:id="2" w:name="_GoBack"/>
    </w:p>
    <w:bookmarkEnd w:id="2"/>
    <w:p w:rsidR="00A94E5B" w:rsidRDefault="00D13173">
      <w:pPr>
        <w:pStyle w:val="ConsPlusNormal"/>
        <w:ind w:firstLine="72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A94E5B" w:rsidRDefault="00D1317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A94E5B" w:rsidRDefault="00D1317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Внести в приказ Департамента по управлению государственной собственностью Томской области от 25.12.2024 № 63 «О Порядке предоставления руководителями областных государственных учреждений, подведомственных Департаменту по управлению государственной собственностью Томской области,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детей» («Официальный  интернет-портал правовой информации» (www.pravo.gov.ru), 26.12.2024,  № 7001202412260025) следующие изменения:</w:t>
      </w:r>
    </w:p>
    <w:p w:rsidR="00A94E5B" w:rsidRDefault="00D13173">
      <w:pPr>
        <w:pStyle w:val="ConsPlusNormal"/>
        <w:pBdr>
          <w:right w:val="none" w:sz="4" w:space="0" w:color="000000"/>
        </w:pBdr>
        <w:ind w:firstLine="709"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 в преамбуле слова «с частью 4 статьи 275» заменить словами «со статьёй 281.1»;</w:t>
      </w:r>
    </w:p>
    <w:p w:rsidR="00A94E5B" w:rsidRDefault="00D13173">
      <w:pPr>
        <w:pStyle w:val="ConsPlusNormal"/>
        <w:pBdr>
          <w:right w:val="none" w:sz="4" w:space="0" w:color="000000"/>
        </w:pBdr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2) в Порядке предоставления руководителями областных государственных учреждений, подведомственных Департаменту по управлению государственной собственностью Томской области, сведений о своих доходах, об имуществе и обязательствах имущественного характера, а также о доходах, об имуществе и обязательствах имущественного характера своих супруга (супруги) </w:t>
      </w:r>
      <w:r>
        <w:rPr>
          <w:rFonts w:ascii="PT Astra Serif" w:hAnsi="PT Astra Serif" w:cs="Times New Roman"/>
          <w:sz w:val="26"/>
          <w:szCs w:val="26"/>
        </w:rPr>
        <w:br/>
        <w:t>и несовершеннолетних детей, установленным указанным приказом:</w:t>
      </w:r>
    </w:p>
    <w:p w:rsidR="00A94E5B" w:rsidRDefault="00D13173">
      <w:pPr>
        <w:pStyle w:val="ConsPlusNormal"/>
        <w:pBdr>
          <w:right w:val="none" w:sz="4" w:space="0" w:color="000000"/>
        </w:pBdr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а) пункт 2 изложить в следующей редакции:</w:t>
      </w:r>
    </w:p>
    <w:p w:rsidR="00A94E5B" w:rsidRDefault="00D13173">
      <w:pPr>
        <w:spacing w:line="288" w:lineRule="atLeast"/>
        <w:ind w:firstLine="540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2. Сведения о доходах, об имуществе и обязательствах имущественного характера представляются по форме справки, утвержденной Указом Президента Российской Федерации от 23.06.2014 № 460 «Об утверждении формы справки о доходах, расходах, об имуществе и обязательствах имущественного характера и внесении изменений в некоторые акты Президента Российской Федерации», которая заполняется с использованием специального программного обеспечения «Справки БК», размещенного на официальном сайте Президента Российской Федерации, ссылка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на который также размещена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 руководителями областных государственных учреждений, – </w:t>
      </w:r>
      <w:r>
        <w:rPr>
          <w:rFonts w:ascii="PT Astra Serif" w:hAnsi="PT Astra Serif"/>
          <w:color w:val="000000" w:themeColor="text1"/>
          <w:sz w:val="26"/>
          <w:szCs w:val="26"/>
        </w:rPr>
        <w:t>в случае возникновения оснований для представления сведений о расходах в соответствии с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не позднее 30 апреля года, следующего за годом, в котором возникли такие основания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.»;</w:t>
      </w:r>
    </w:p>
    <w:p w:rsidR="00A94E5B" w:rsidRDefault="00D13173">
      <w:pPr>
        <w:pStyle w:val="ConsPlusNormal"/>
        <w:pBdr>
          <w:right w:val="none" w:sz="4" w:space="0" w:color="000000"/>
        </w:pBdr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 xml:space="preserve">б) в абзаце первом пункта 3 слова «предоставляет ежегодно» заменить словами «в случае возникновения оснований для представления сведений о расходах в </w:t>
      </w:r>
      <w:proofErr w:type="gramStart"/>
      <w:r>
        <w:rPr>
          <w:rFonts w:ascii="PT Astra Serif" w:hAnsi="PT Astra Serif" w:cs="Times New Roman"/>
          <w:sz w:val="26"/>
          <w:szCs w:val="26"/>
        </w:rPr>
        <w:t>соответствии  с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Федеральным законом от 3 декабря 2012 года № 230-ФЗ «О контроле за соответствием расходов лиц, замещающих государственные должности, и иных лиц их доходам» предоставляет»;</w:t>
      </w:r>
    </w:p>
    <w:p w:rsidR="00A94E5B" w:rsidRDefault="00D13173">
      <w:pPr>
        <w:pStyle w:val="ConsPlusNormal"/>
        <w:pBdr>
          <w:right w:val="none" w:sz="4" w:space="0" w:color="000000"/>
        </w:pBdr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в) пункт 5 признать утратившим силу.</w:t>
      </w:r>
    </w:p>
    <w:p w:rsidR="00A94E5B" w:rsidRDefault="00A94E5B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A94E5B" w:rsidRDefault="00A94E5B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A94E5B" w:rsidRDefault="00A94E5B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826"/>
        <w:gridCol w:w="2689"/>
        <w:gridCol w:w="3374"/>
      </w:tblGrid>
      <w:tr w:rsidR="00A94E5B">
        <w:tc>
          <w:tcPr>
            <w:tcW w:w="38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A94E5B" w:rsidRDefault="00D1317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26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A94E5B" w:rsidRDefault="00D1317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1D3890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A94E5B" w:rsidRDefault="00D1317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Т.А. Исакова</w:t>
            </w:r>
          </w:p>
        </w:tc>
      </w:tr>
    </w:tbl>
    <w:p w:rsidR="00A94E5B" w:rsidRDefault="00A94E5B">
      <w:pPr>
        <w:rPr>
          <w:rFonts w:ascii="PT Astra Serif" w:hAnsi="PT Astra Serif"/>
          <w:sz w:val="18"/>
          <w:szCs w:val="18"/>
        </w:rPr>
      </w:pPr>
    </w:p>
    <w:p w:rsidR="00A94E5B" w:rsidRDefault="00A94E5B">
      <w:pPr>
        <w:rPr>
          <w:rFonts w:ascii="PT Astra Serif" w:hAnsi="PT Astra Serif"/>
          <w:sz w:val="18"/>
          <w:szCs w:val="18"/>
        </w:rPr>
      </w:pPr>
    </w:p>
    <w:p w:rsidR="00A94E5B" w:rsidRDefault="00A94E5B">
      <w:pPr>
        <w:rPr>
          <w:rFonts w:ascii="PT Astra Serif" w:hAnsi="PT Astra Serif"/>
          <w:sz w:val="18"/>
          <w:szCs w:val="18"/>
        </w:rPr>
      </w:pPr>
    </w:p>
    <w:p w:rsidR="00A94E5B" w:rsidRDefault="00A94E5B">
      <w:pPr>
        <w:rPr>
          <w:rFonts w:ascii="PT Astra Serif" w:hAnsi="PT Astra Serif"/>
          <w:sz w:val="18"/>
          <w:szCs w:val="18"/>
        </w:rPr>
      </w:pPr>
    </w:p>
    <w:p w:rsidR="00A94E5B" w:rsidRDefault="00A94E5B">
      <w:pPr>
        <w:rPr>
          <w:rFonts w:ascii="PT Astra Serif" w:hAnsi="PT Astra Serif"/>
          <w:sz w:val="18"/>
          <w:szCs w:val="18"/>
        </w:rPr>
      </w:pPr>
    </w:p>
    <w:p w:rsidR="00A94E5B" w:rsidRDefault="00A94E5B">
      <w:pPr>
        <w:rPr>
          <w:rFonts w:ascii="PT Astra Serif" w:hAnsi="PT Astra Serif"/>
          <w:sz w:val="18"/>
          <w:szCs w:val="18"/>
        </w:rPr>
      </w:pPr>
    </w:p>
    <w:p w:rsidR="00A94E5B" w:rsidRDefault="00A94E5B">
      <w:pPr>
        <w:rPr>
          <w:rFonts w:ascii="PT Astra Serif" w:hAnsi="PT Astra Serif"/>
          <w:sz w:val="18"/>
          <w:szCs w:val="18"/>
        </w:rPr>
      </w:pPr>
    </w:p>
    <w:p w:rsidR="00A94E5B" w:rsidRDefault="00A94E5B">
      <w:pPr>
        <w:rPr>
          <w:rFonts w:ascii="PT Astra Serif" w:hAnsi="PT Astra Serif"/>
          <w:sz w:val="18"/>
          <w:szCs w:val="18"/>
        </w:rPr>
      </w:pPr>
    </w:p>
    <w:p w:rsidR="00A94E5B" w:rsidRDefault="00A94E5B">
      <w:pPr>
        <w:rPr>
          <w:rFonts w:ascii="PT Astra Serif" w:hAnsi="PT Astra Serif"/>
          <w:sz w:val="18"/>
          <w:szCs w:val="18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p w:rsidR="00A94E5B" w:rsidRDefault="00A94E5B">
      <w:pPr>
        <w:rPr>
          <w:rFonts w:ascii="PT Astra Serif" w:hAnsi="PT Astra Serif"/>
        </w:rPr>
      </w:pPr>
    </w:p>
    <w:sectPr w:rsidR="00A94E5B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E5B" w:rsidRDefault="00D13173">
      <w:r>
        <w:separator/>
      </w:r>
    </w:p>
  </w:endnote>
  <w:endnote w:type="continuationSeparator" w:id="0">
    <w:p w:rsidR="00A94E5B" w:rsidRDefault="00D13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E5B" w:rsidRDefault="00D13173">
      <w:r>
        <w:separator/>
      </w:r>
    </w:p>
  </w:footnote>
  <w:footnote w:type="continuationSeparator" w:id="0">
    <w:p w:rsidR="00A94E5B" w:rsidRDefault="00D13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E5B" w:rsidRDefault="00D13173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1D389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E5B" w:rsidRDefault="00D13173" w:rsidP="001D3890">
    <w:pPr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b/>
        <w:bCs/>
        <w:sz w:val="28"/>
        <w:szCs w:val="28"/>
      </w:rPr>
      <w:t>ПРИКАЗ</w:t>
    </w:r>
  </w:p>
  <w:p w:rsidR="00A94E5B" w:rsidRDefault="00D13173" w:rsidP="001D3890">
    <w:pPr>
      <w:pStyle w:val="af1"/>
      <w:spacing w:before="0" w:after="0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A94E5B" w:rsidRDefault="00D13173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A94E5B" w:rsidRDefault="00D13173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564541"/>
    <w:multiLevelType w:val="hybridMultilevel"/>
    <w:tmpl w:val="342CEDEA"/>
    <w:lvl w:ilvl="0" w:tplc="EC6A40BC">
      <w:start w:val="1"/>
      <w:numFmt w:val="decimal"/>
      <w:lvlText w:val="%1)"/>
      <w:lvlJc w:val="left"/>
      <w:pPr>
        <w:ind w:left="1418" w:hanging="360"/>
      </w:pPr>
    </w:lvl>
    <w:lvl w:ilvl="1" w:tplc="DE4CC53A">
      <w:start w:val="1"/>
      <w:numFmt w:val="lowerLetter"/>
      <w:lvlText w:val="%2."/>
      <w:lvlJc w:val="left"/>
      <w:pPr>
        <w:ind w:left="2138" w:hanging="360"/>
      </w:pPr>
    </w:lvl>
    <w:lvl w:ilvl="2" w:tplc="D0A29246">
      <w:start w:val="1"/>
      <w:numFmt w:val="lowerRoman"/>
      <w:lvlText w:val="%3."/>
      <w:lvlJc w:val="right"/>
      <w:pPr>
        <w:ind w:left="2858" w:hanging="180"/>
      </w:pPr>
    </w:lvl>
    <w:lvl w:ilvl="3" w:tplc="F0D49C2C">
      <w:start w:val="1"/>
      <w:numFmt w:val="decimal"/>
      <w:lvlText w:val="%4."/>
      <w:lvlJc w:val="left"/>
      <w:pPr>
        <w:ind w:left="3578" w:hanging="360"/>
      </w:pPr>
    </w:lvl>
    <w:lvl w:ilvl="4" w:tplc="E81E5406">
      <w:start w:val="1"/>
      <w:numFmt w:val="lowerLetter"/>
      <w:lvlText w:val="%5."/>
      <w:lvlJc w:val="left"/>
      <w:pPr>
        <w:ind w:left="4298" w:hanging="360"/>
      </w:pPr>
    </w:lvl>
    <w:lvl w:ilvl="5" w:tplc="D8D4C7D8">
      <w:start w:val="1"/>
      <w:numFmt w:val="lowerRoman"/>
      <w:lvlText w:val="%6."/>
      <w:lvlJc w:val="right"/>
      <w:pPr>
        <w:ind w:left="5018" w:hanging="180"/>
      </w:pPr>
    </w:lvl>
    <w:lvl w:ilvl="6" w:tplc="4F04C0DC">
      <w:start w:val="1"/>
      <w:numFmt w:val="decimal"/>
      <w:lvlText w:val="%7."/>
      <w:lvlJc w:val="left"/>
      <w:pPr>
        <w:ind w:left="5738" w:hanging="360"/>
      </w:pPr>
    </w:lvl>
    <w:lvl w:ilvl="7" w:tplc="32265662">
      <w:start w:val="1"/>
      <w:numFmt w:val="lowerLetter"/>
      <w:lvlText w:val="%8."/>
      <w:lvlJc w:val="left"/>
      <w:pPr>
        <w:ind w:left="6458" w:hanging="360"/>
      </w:pPr>
    </w:lvl>
    <w:lvl w:ilvl="8" w:tplc="7B68ADF8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3CD575A0"/>
    <w:multiLevelType w:val="hybridMultilevel"/>
    <w:tmpl w:val="88A223CA"/>
    <w:lvl w:ilvl="0" w:tplc="75164AC4">
      <w:start w:val="1"/>
      <w:numFmt w:val="decimal"/>
      <w:lvlText w:val="%1)"/>
      <w:lvlJc w:val="left"/>
      <w:pPr>
        <w:ind w:left="1418" w:hanging="360"/>
      </w:pPr>
    </w:lvl>
    <w:lvl w:ilvl="1" w:tplc="9ED8560A">
      <w:start w:val="1"/>
      <w:numFmt w:val="lowerLetter"/>
      <w:lvlText w:val="%2."/>
      <w:lvlJc w:val="left"/>
      <w:pPr>
        <w:ind w:left="2138" w:hanging="360"/>
      </w:pPr>
    </w:lvl>
    <w:lvl w:ilvl="2" w:tplc="26F87B74">
      <w:start w:val="1"/>
      <w:numFmt w:val="lowerRoman"/>
      <w:lvlText w:val="%3."/>
      <w:lvlJc w:val="right"/>
      <w:pPr>
        <w:ind w:left="2858" w:hanging="180"/>
      </w:pPr>
    </w:lvl>
    <w:lvl w:ilvl="3" w:tplc="8E04AAD4">
      <w:start w:val="1"/>
      <w:numFmt w:val="decimal"/>
      <w:lvlText w:val="%4."/>
      <w:lvlJc w:val="left"/>
      <w:pPr>
        <w:ind w:left="3578" w:hanging="360"/>
      </w:pPr>
    </w:lvl>
    <w:lvl w:ilvl="4" w:tplc="146A6FAE">
      <w:start w:val="1"/>
      <w:numFmt w:val="lowerLetter"/>
      <w:lvlText w:val="%5."/>
      <w:lvlJc w:val="left"/>
      <w:pPr>
        <w:ind w:left="4298" w:hanging="360"/>
      </w:pPr>
    </w:lvl>
    <w:lvl w:ilvl="5" w:tplc="C584F158">
      <w:start w:val="1"/>
      <w:numFmt w:val="lowerRoman"/>
      <w:lvlText w:val="%6."/>
      <w:lvlJc w:val="right"/>
      <w:pPr>
        <w:ind w:left="5018" w:hanging="180"/>
      </w:pPr>
    </w:lvl>
    <w:lvl w:ilvl="6" w:tplc="8318BC30">
      <w:start w:val="1"/>
      <w:numFmt w:val="decimal"/>
      <w:lvlText w:val="%7."/>
      <w:lvlJc w:val="left"/>
      <w:pPr>
        <w:ind w:left="5738" w:hanging="360"/>
      </w:pPr>
    </w:lvl>
    <w:lvl w:ilvl="7" w:tplc="05C4AA2E">
      <w:start w:val="1"/>
      <w:numFmt w:val="lowerLetter"/>
      <w:lvlText w:val="%8."/>
      <w:lvlJc w:val="left"/>
      <w:pPr>
        <w:ind w:left="6458" w:hanging="360"/>
      </w:pPr>
    </w:lvl>
    <w:lvl w:ilvl="8" w:tplc="5856688C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E5B"/>
    <w:rsid w:val="001D3890"/>
    <w:rsid w:val="00A94E5B"/>
    <w:rsid w:val="00D1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D55351-8158-4432-8280-DFD792602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Полева Екатерина Александровна</cp:lastModifiedBy>
  <cp:revision>20</cp:revision>
  <dcterms:created xsi:type="dcterms:W3CDTF">2024-12-20T06:02:00Z</dcterms:created>
  <dcterms:modified xsi:type="dcterms:W3CDTF">2026-08-17T09:18:00Z</dcterms:modified>
</cp:coreProperties>
</file>